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16" w:rsidRDefault="00CC5D16" w:rsidP="00CC5D16">
      <w:pPr>
        <w:jc w:val="center"/>
        <w:rPr>
          <w:rFonts w:ascii="Arial" w:hAnsi="Arial" w:cs="Arial"/>
          <w:i/>
          <w:lang w:val="es-ES"/>
        </w:rPr>
      </w:pPr>
      <w:bookmarkStart w:id="0" w:name="_GoBack"/>
      <w:bookmarkEnd w:id="0"/>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CC5D16" w:rsidRDefault="00CC5D16" w:rsidP="00CC5D16">
      <w:pPr>
        <w:jc w:val="center"/>
        <w:rPr>
          <w:rFonts w:ascii="Arial" w:hAnsi="Arial" w:cs="Arial"/>
          <w:i/>
          <w:lang w:val="es-ES"/>
        </w:rPr>
      </w:pPr>
    </w:p>
    <w:p w:rsidR="008C2F8A" w:rsidRDefault="00CC5D16" w:rsidP="00CC5D16">
      <w:pPr>
        <w:jc w:val="center"/>
        <w:rPr>
          <w:rFonts w:ascii="Arial" w:hAnsi="Arial" w:cs="Arial"/>
          <w:lang w:val="es-ES"/>
        </w:rPr>
      </w:pPr>
      <w:r w:rsidRPr="00CC5D16">
        <w:rPr>
          <w:rFonts w:ascii="Arial" w:hAnsi="Arial" w:cs="Arial"/>
          <w:i/>
          <w:lang w:val="es-ES"/>
        </w:rPr>
        <w:t>Case study</w:t>
      </w:r>
      <w:r>
        <w:rPr>
          <w:rFonts w:ascii="Arial" w:hAnsi="Arial" w:cs="Arial"/>
          <w:lang w:val="es-ES"/>
        </w:rPr>
        <w:t>: análisis sectorial</w:t>
      </w:r>
    </w:p>
    <w:p w:rsidR="00CC5D16" w:rsidRDefault="00CC5D16" w:rsidP="00CC5D16">
      <w:pPr>
        <w:jc w:val="center"/>
        <w:rPr>
          <w:rFonts w:ascii="Arial" w:hAnsi="Arial" w:cs="Arial"/>
          <w:lang w:val="es-ES"/>
        </w:rPr>
      </w:pPr>
      <w:r>
        <w:rPr>
          <w:rFonts w:ascii="Arial" w:hAnsi="Arial" w:cs="Arial"/>
          <w:lang w:val="es-ES"/>
        </w:rPr>
        <w:t>LLYC</w:t>
      </w:r>
    </w:p>
    <w:p w:rsidR="00CC5D16" w:rsidRDefault="00CC5D16">
      <w:pPr>
        <w:rPr>
          <w:rFonts w:ascii="Arial" w:hAnsi="Arial" w:cs="Arial"/>
          <w:lang w:val="es-ES"/>
        </w:rPr>
      </w:pPr>
      <w:r>
        <w:rPr>
          <w:rFonts w:ascii="Arial" w:hAnsi="Arial" w:cs="Arial"/>
          <w:lang w:val="es-ES"/>
        </w:rPr>
        <w:br w:type="page"/>
      </w:r>
    </w:p>
    <w:p w:rsidR="00CC5D16" w:rsidRPr="00063096" w:rsidRDefault="00CC5D16" w:rsidP="00CC5D16">
      <w:pPr>
        <w:jc w:val="both"/>
        <w:rPr>
          <w:rFonts w:ascii="Arial" w:hAnsi="Arial" w:cs="Arial"/>
          <w:b/>
        </w:rPr>
      </w:pPr>
      <w:r w:rsidRPr="00063096">
        <w:rPr>
          <w:rFonts w:ascii="Arial" w:hAnsi="Arial" w:cs="Arial"/>
          <w:b/>
          <w:lang w:val="es-ES"/>
        </w:rPr>
        <w:lastRenderedPageBreak/>
        <w:t xml:space="preserve">1. </w:t>
      </w:r>
      <w:r w:rsidRPr="00063096">
        <w:rPr>
          <w:rFonts w:ascii="Arial" w:hAnsi="Arial" w:cs="Arial"/>
          <w:b/>
        </w:rPr>
        <w:t>Identificar claramente las grandes oportunidades y amenazas del sector. (</w:t>
      </w:r>
      <w:r w:rsidR="009B619A" w:rsidRPr="00063096">
        <w:rPr>
          <w:rFonts w:ascii="Arial" w:hAnsi="Arial" w:cs="Arial"/>
          <w:b/>
        </w:rPr>
        <w:t>Importante</w:t>
      </w:r>
      <w:r w:rsidRPr="00063096">
        <w:rPr>
          <w:rFonts w:ascii="Arial" w:hAnsi="Arial" w:cs="Arial"/>
          <w:b/>
        </w:rPr>
        <w:t xml:space="preserve"> tener en cuenta las grandes tendencias del sector)</w:t>
      </w:r>
    </w:p>
    <w:p w:rsidR="005A1EF5" w:rsidRDefault="005A1EF5" w:rsidP="00CC5D16">
      <w:pPr>
        <w:jc w:val="both"/>
        <w:rPr>
          <w:rFonts w:ascii="Arial" w:hAnsi="Arial" w:cs="Arial"/>
        </w:rPr>
      </w:pPr>
      <w:r>
        <w:rPr>
          <w:rFonts w:ascii="Arial" w:hAnsi="Arial" w:cs="Arial"/>
        </w:rPr>
        <w:t>El sector de la consultoría de comunicación cuenta con las siguientes amenazas y oportunidades:</w:t>
      </w:r>
    </w:p>
    <w:p w:rsidR="005A1EF5" w:rsidRDefault="005A1EF5" w:rsidP="00CC5D16">
      <w:pPr>
        <w:jc w:val="both"/>
        <w:rPr>
          <w:rFonts w:ascii="Arial" w:hAnsi="Arial" w:cs="Arial"/>
        </w:rPr>
      </w:pPr>
      <w:r>
        <w:rPr>
          <w:rFonts w:ascii="Arial" w:hAnsi="Arial" w:cs="Arial"/>
        </w:rPr>
        <w:t>Amenazas:</w:t>
      </w:r>
    </w:p>
    <w:p w:rsidR="005B52B5" w:rsidRDefault="005B52B5" w:rsidP="005B52B5">
      <w:pPr>
        <w:pStyle w:val="Prrafodelista"/>
        <w:numPr>
          <w:ilvl w:val="0"/>
          <w:numId w:val="13"/>
        </w:numPr>
        <w:jc w:val="both"/>
        <w:rPr>
          <w:rFonts w:ascii="Arial" w:hAnsi="Arial" w:cs="Arial"/>
        </w:rPr>
      </w:pPr>
      <w:r>
        <w:rPr>
          <w:rFonts w:ascii="Arial" w:hAnsi="Arial" w:cs="Arial"/>
        </w:rPr>
        <w:t>El sector de la comunicación está en constante transformación</w:t>
      </w:r>
    </w:p>
    <w:p w:rsidR="005B52B5" w:rsidRDefault="005B52B5" w:rsidP="005B52B5">
      <w:pPr>
        <w:pStyle w:val="Prrafodelista"/>
        <w:numPr>
          <w:ilvl w:val="0"/>
          <w:numId w:val="13"/>
        </w:numPr>
        <w:jc w:val="both"/>
        <w:rPr>
          <w:rFonts w:ascii="Arial" w:hAnsi="Arial" w:cs="Arial"/>
        </w:rPr>
      </w:pPr>
      <w:r>
        <w:rPr>
          <w:rFonts w:ascii="Arial" w:hAnsi="Arial" w:cs="Arial"/>
        </w:rPr>
        <w:t>Intrusismo de otras profesiones en el sector</w:t>
      </w:r>
    </w:p>
    <w:p w:rsidR="005B52B5" w:rsidRDefault="005B52B5" w:rsidP="005B52B5">
      <w:pPr>
        <w:pStyle w:val="Prrafodelista"/>
        <w:numPr>
          <w:ilvl w:val="0"/>
          <w:numId w:val="13"/>
        </w:numPr>
        <w:jc w:val="both"/>
        <w:rPr>
          <w:rFonts w:ascii="Arial" w:hAnsi="Arial" w:cs="Arial"/>
        </w:rPr>
      </w:pPr>
      <w:r>
        <w:rPr>
          <w:rFonts w:ascii="Arial" w:hAnsi="Arial" w:cs="Arial"/>
        </w:rPr>
        <w:t>Gracias a la inteligencia artificial perderá sentido algunas de las funciones que se hacen hasta ahora</w:t>
      </w:r>
    </w:p>
    <w:p w:rsidR="005B52B5" w:rsidRDefault="005B52B5" w:rsidP="005B52B5">
      <w:pPr>
        <w:pStyle w:val="Prrafodelista"/>
        <w:numPr>
          <w:ilvl w:val="0"/>
          <w:numId w:val="13"/>
        </w:numPr>
        <w:jc w:val="both"/>
        <w:rPr>
          <w:rFonts w:ascii="Arial" w:hAnsi="Arial" w:cs="Arial"/>
        </w:rPr>
      </w:pPr>
      <w:r>
        <w:rPr>
          <w:rFonts w:ascii="Arial" w:hAnsi="Arial" w:cs="Arial"/>
        </w:rPr>
        <w:t>La reputación es “menos medible” que el marketing o las ventas, por lo que el sector debe avanzar en aportar herramientas para medir los resultados de las estrategias que se llevan a cabo</w:t>
      </w:r>
    </w:p>
    <w:p w:rsidR="005B52B5" w:rsidRPr="005B52B5" w:rsidRDefault="005B52B5" w:rsidP="005B52B5">
      <w:pPr>
        <w:pStyle w:val="Prrafodelista"/>
        <w:numPr>
          <w:ilvl w:val="0"/>
          <w:numId w:val="13"/>
        </w:numPr>
        <w:jc w:val="both"/>
        <w:rPr>
          <w:rFonts w:ascii="Arial" w:hAnsi="Arial" w:cs="Arial"/>
        </w:rPr>
      </w:pPr>
    </w:p>
    <w:p w:rsidR="00542D8C" w:rsidRDefault="005A1EF5" w:rsidP="00CC5D16">
      <w:pPr>
        <w:jc w:val="both"/>
        <w:rPr>
          <w:rFonts w:ascii="Arial" w:hAnsi="Arial" w:cs="Arial"/>
        </w:rPr>
      </w:pPr>
      <w:r>
        <w:rPr>
          <w:rFonts w:ascii="Arial" w:hAnsi="Arial" w:cs="Arial"/>
        </w:rPr>
        <w:t>Oportunidades:</w:t>
      </w:r>
    </w:p>
    <w:p w:rsidR="005B52B5" w:rsidRDefault="005B52B5" w:rsidP="005B52B5">
      <w:pPr>
        <w:pStyle w:val="Prrafodelista"/>
        <w:numPr>
          <w:ilvl w:val="0"/>
          <w:numId w:val="13"/>
        </w:numPr>
        <w:jc w:val="both"/>
        <w:rPr>
          <w:rFonts w:ascii="Arial" w:hAnsi="Arial" w:cs="Arial"/>
        </w:rPr>
      </w:pPr>
      <w:r>
        <w:rPr>
          <w:rFonts w:ascii="Arial" w:hAnsi="Arial" w:cs="Arial"/>
        </w:rPr>
        <w:t>La comunicación cobra cada vez más importancias en los consejos de dirección, ya no es solo un departamento, forma parte del core business de la mayoría de compañías</w:t>
      </w:r>
    </w:p>
    <w:p w:rsidR="005B52B5" w:rsidRDefault="005B52B5" w:rsidP="005B52B5">
      <w:pPr>
        <w:pStyle w:val="Prrafodelista"/>
        <w:numPr>
          <w:ilvl w:val="0"/>
          <w:numId w:val="13"/>
        </w:numPr>
        <w:jc w:val="both"/>
        <w:rPr>
          <w:rFonts w:ascii="Arial" w:hAnsi="Arial" w:cs="Arial"/>
        </w:rPr>
      </w:pPr>
      <w:r>
        <w:rPr>
          <w:rFonts w:ascii="Arial" w:hAnsi="Arial" w:cs="Arial"/>
        </w:rPr>
        <w:t>La tecnología será una de las claves para aportar valor a las empresas, desde comunicación se puede dar sentido o guiar las líneas estratégicas de la implementación de esta tecnología</w:t>
      </w:r>
    </w:p>
    <w:p w:rsidR="005B52B5" w:rsidRDefault="005B52B5" w:rsidP="005B52B5">
      <w:pPr>
        <w:pStyle w:val="Prrafodelista"/>
        <w:numPr>
          <w:ilvl w:val="0"/>
          <w:numId w:val="13"/>
        </w:numPr>
        <w:jc w:val="both"/>
        <w:rPr>
          <w:rFonts w:ascii="Arial" w:hAnsi="Arial" w:cs="Arial"/>
        </w:rPr>
      </w:pPr>
      <w:r>
        <w:rPr>
          <w:rFonts w:ascii="Arial" w:hAnsi="Arial" w:cs="Arial"/>
        </w:rPr>
        <w:t>El aporte de los consultores al avance de la inteligencia artificial estará en aportar el contexto</w:t>
      </w:r>
    </w:p>
    <w:p w:rsidR="005B52B5" w:rsidRDefault="005B52B5" w:rsidP="005B52B5">
      <w:pPr>
        <w:pStyle w:val="Prrafodelista"/>
        <w:numPr>
          <w:ilvl w:val="0"/>
          <w:numId w:val="13"/>
        </w:numPr>
        <w:jc w:val="both"/>
        <w:rPr>
          <w:rFonts w:ascii="Arial" w:hAnsi="Arial" w:cs="Arial"/>
        </w:rPr>
      </w:pPr>
      <w:r>
        <w:rPr>
          <w:rFonts w:ascii="Arial" w:hAnsi="Arial" w:cs="Arial"/>
        </w:rPr>
        <w:t>Las consultoras de comunicación podrán aportar soluciones no solo para los stakeholders habituales (medios, empleados, accionistas) si no para el resto de públicos a través de soluciones transversales y que incidan en públicos nuevos</w:t>
      </w:r>
    </w:p>
    <w:p w:rsidR="005B52B5" w:rsidRPr="005B52B5" w:rsidRDefault="005B52B5" w:rsidP="005B52B5">
      <w:pPr>
        <w:pStyle w:val="Prrafodelista"/>
        <w:numPr>
          <w:ilvl w:val="0"/>
          <w:numId w:val="13"/>
        </w:numPr>
        <w:jc w:val="both"/>
        <w:rPr>
          <w:rFonts w:ascii="Arial" w:hAnsi="Arial" w:cs="Arial"/>
        </w:rPr>
      </w:pPr>
      <w:r>
        <w:rPr>
          <w:rFonts w:ascii="Arial" w:hAnsi="Arial" w:cs="Arial"/>
        </w:rPr>
        <w:t>Se diluye la barrera entre marketing y comunicación</w:t>
      </w:r>
    </w:p>
    <w:p w:rsidR="00063096" w:rsidRDefault="005A1EF5" w:rsidP="00CC5D16">
      <w:pPr>
        <w:jc w:val="both"/>
        <w:rPr>
          <w:rFonts w:ascii="Arial" w:hAnsi="Arial" w:cs="Arial"/>
        </w:rPr>
      </w:pPr>
      <w:r>
        <w:rPr>
          <w:rFonts w:ascii="Arial" w:hAnsi="Arial" w:cs="Arial"/>
        </w:rPr>
        <w:t xml:space="preserve">Si nos fijamos en las grandes tendencias </w:t>
      </w:r>
      <w:r w:rsidR="00063096">
        <w:rPr>
          <w:rFonts w:ascii="Arial" w:hAnsi="Arial" w:cs="Arial"/>
        </w:rPr>
        <w:t>del sector podemos asegurar que están muy relacionadas con dar respuesta a las demandas de los consumidores. En concreto, podemos destacar:</w:t>
      </w:r>
    </w:p>
    <w:p w:rsidR="00063096" w:rsidRDefault="00063096" w:rsidP="00CC5D16">
      <w:pPr>
        <w:jc w:val="both"/>
        <w:rPr>
          <w:rFonts w:ascii="Arial" w:hAnsi="Arial" w:cs="Arial"/>
        </w:rPr>
      </w:pPr>
      <w:r w:rsidRPr="001C33D2">
        <w:rPr>
          <w:rFonts w:ascii="Arial" w:hAnsi="Arial" w:cs="Arial"/>
          <w:u w:val="single"/>
        </w:rPr>
        <w:t xml:space="preserve">Aumento de las búsquedas por voz: </w:t>
      </w:r>
      <w:r>
        <w:rPr>
          <w:rFonts w:ascii="Arial" w:hAnsi="Arial" w:cs="Arial"/>
        </w:rPr>
        <w:t xml:space="preserve">La voz es producto y experiencia. Asistentes por voz, las marcas deberán reconsiderar el diseño de los productos, las relaciones con sus socios y consumidores y plantearse si deben modificar su estructura organizacional. </w:t>
      </w:r>
    </w:p>
    <w:p w:rsidR="00063096" w:rsidRDefault="00063096" w:rsidP="00CC5D16">
      <w:pPr>
        <w:jc w:val="both"/>
        <w:rPr>
          <w:rFonts w:ascii="Arial" w:hAnsi="Arial" w:cs="Arial"/>
        </w:rPr>
      </w:pPr>
      <w:r w:rsidRPr="001C33D2">
        <w:rPr>
          <w:rFonts w:ascii="Arial" w:hAnsi="Arial" w:cs="Arial"/>
          <w:u w:val="single"/>
        </w:rPr>
        <w:t>Microinfluencers:</w:t>
      </w:r>
      <w:r w:rsidR="00B55B87">
        <w:rPr>
          <w:rFonts w:ascii="Arial" w:hAnsi="Arial" w:cs="Arial"/>
        </w:rPr>
        <w:t xml:space="preserve"> La era de los influencers con millones de seguidores y poder absoluto ha muerto. Los usuarios buscan referentes reales, con los que se sientan conectados y que sirvan como referentes o recomendadores para sus situaciones cotidianas. Para ello, los microinfluencers dan respuesta de un modo </w:t>
      </w:r>
      <w:r w:rsidR="001C33D2">
        <w:rPr>
          <w:rFonts w:ascii="Arial" w:hAnsi="Arial" w:cs="Arial"/>
        </w:rPr>
        <w:t xml:space="preserve">más real y cercano. </w:t>
      </w:r>
    </w:p>
    <w:p w:rsidR="00063096" w:rsidRDefault="00063096" w:rsidP="00CC5D16">
      <w:pPr>
        <w:jc w:val="both"/>
        <w:rPr>
          <w:rFonts w:ascii="Arial" w:hAnsi="Arial" w:cs="Arial"/>
        </w:rPr>
      </w:pPr>
      <w:r w:rsidRPr="001C33D2">
        <w:rPr>
          <w:rFonts w:ascii="Arial" w:hAnsi="Arial" w:cs="Arial"/>
          <w:u w:val="single"/>
        </w:rPr>
        <w:t>Hipersegmentación y personalización:</w:t>
      </w:r>
      <w:r>
        <w:rPr>
          <w:rFonts w:ascii="Arial" w:hAnsi="Arial" w:cs="Arial"/>
        </w:rPr>
        <w:t xml:space="preserve"> </w:t>
      </w:r>
      <w:r w:rsidR="001C33D2">
        <w:rPr>
          <w:rFonts w:ascii="Arial" w:hAnsi="Arial" w:cs="Arial"/>
        </w:rPr>
        <w:t>Las marcas deberán trabajar por crear e</w:t>
      </w:r>
      <w:r>
        <w:rPr>
          <w:rFonts w:ascii="Arial" w:hAnsi="Arial" w:cs="Arial"/>
        </w:rPr>
        <w:t>xperiencia</w:t>
      </w:r>
      <w:r w:rsidR="001C33D2">
        <w:rPr>
          <w:rFonts w:ascii="Arial" w:hAnsi="Arial" w:cs="Arial"/>
        </w:rPr>
        <w:t>s</w:t>
      </w:r>
      <w:r>
        <w:rPr>
          <w:rFonts w:ascii="Arial" w:hAnsi="Arial" w:cs="Arial"/>
        </w:rPr>
        <w:t xml:space="preserve"> de compra exitosa y </w:t>
      </w:r>
      <w:r w:rsidR="001C33D2">
        <w:rPr>
          <w:rFonts w:ascii="Arial" w:hAnsi="Arial" w:cs="Arial"/>
        </w:rPr>
        <w:t xml:space="preserve">una </w:t>
      </w:r>
      <w:r>
        <w:rPr>
          <w:rFonts w:ascii="Arial" w:hAnsi="Arial" w:cs="Arial"/>
        </w:rPr>
        <w:t>fase de posventa que mantenga la llama encendida</w:t>
      </w:r>
      <w:r w:rsidR="00B55B87">
        <w:rPr>
          <w:rFonts w:ascii="Arial" w:hAnsi="Arial" w:cs="Arial"/>
        </w:rPr>
        <w:t xml:space="preserve">. Este concepto está </w:t>
      </w:r>
      <w:r w:rsidR="00B55B87">
        <w:rPr>
          <w:rFonts w:ascii="Arial" w:hAnsi="Arial" w:cs="Arial"/>
        </w:rPr>
        <w:lastRenderedPageBreak/>
        <w:t xml:space="preserve">directamente relacionado también con la guerra por la atención de los usuarios. Las plataformas de vídeo </w:t>
      </w:r>
      <w:r w:rsidR="00B55B87" w:rsidRPr="001C33D2">
        <w:rPr>
          <w:rFonts w:ascii="Arial" w:hAnsi="Arial" w:cs="Arial"/>
          <w:i/>
        </w:rPr>
        <w:t>ondemand</w:t>
      </w:r>
      <w:r w:rsidR="00B55B87">
        <w:rPr>
          <w:rFonts w:ascii="Arial" w:hAnsi="Arial" w:cs="Arial"/>
        </w:rPr>
        <w:t xml:space="preserve"> llevan algunos años trabajando en este sentido. </w:t>
      </w:r>
    </w:p>
    <w:p w:rsidR="00063096" w:rsidRDefault="00B55B87" w:rsidP="00CC5D16">
      <w:pPr>
        <w:jc w:val="both"/>
        <w:rPr>
          <w:rFonts w:ascii="Arial" w:hAnsi="Arial" w:cs="Arial"/>
        </w:rPr>
      </w:pPr>
      <w:r w:rsidRPr="001C33D2">
        <w:rPr>
          <w:rFonts w:ascii="Arial" w:hAnsi="Arial" w:cs="Arial"/>
          <w:u w:val="single"/>
        </w:rPr>
        <w:t>Implicación</w:t>
      </w:r>
      <w:r w:rsidR="00063096" w:rsidRPr="001C33D2">
        <w:rPr>
          <w:rFonts w:ascii="Arial" w:hAnsi="Arial" w:cs="Arial"/>
          <w:u w:val="single"/>
        </w:rPr>
        <w:t xml:space="preserve"> del CEO</w:t>
      </w:r>
      <w:r w:rsidRPr="001C33D2">
        <w:rPr>
          <w:rFonts w:ascii="Arial" w:hAnsi="Arial" w:cs="Arial"/>
          <w:u w:val="single"/>
        </w:rPr>
        <w:t>:</w:t>
      </w:r>
      <w:r>
        <w:rPr>
          <w:rFonts w:ascii="Arial" w:hAnsi="Arial" w:cs="Arial"/>
        </w:rPr>
        <w:t xml:space="preserve"> Las marcas ya no pueden mostrarse neutrales ante cuestiones como la responsabilidad social y la sostenibilidad. Y no solo desde un departamento, si no desde dirección donde cada decisión que se tome venga marcada por el propósito de la compañía. </w:t>
      </w:r>
    </w:p>
    <w:p w:rsidR="005A1EF5" w:rsidRDefault="001C33D2" w:rsidP="00CC5D16">
      <w:pPr>
        <w:jc w:val="both"/>
        <w:rPr>
          <w:rFonts w:ascii="Arial" w:hAnsi="Arial" w:cs="Arial"/>
        </w:rPr>
      </w:pPr>
      <w:r>
        <w:rPr>
          <w:rFonts w:ascii="Arial" w:hAnsi="Arial" w:cs="Arial"/>
        </w:rPr>
        <w:t xml:space="preserve">Frente a estas tendencias en comunicación que se han presentado, la consultoría que sepa anticiparse y dar soluciones concretas y reales a sus clientes serán las que generen mejores experiencias en las compañías con las que colaboran. La clave está en aportar visión sobre lo que está sucediendo en el sector combinado con un conocimiento de la compañía que adapte lo que demandan los consumidores con el propósito de la empresa. </w:t>
      </w:r>
    </w:p>
    <w:p w:rsidR="00CC5D16" w:rsidRDefault="00CC5D16" w:rsidP="00CC5D16">
      <w:pPr>
        <w:jc w:val="both"/>
        <w:rPr>
          <w:rFonts w:ascii="Arial" w:hAnsi="Arial" w:cs="Arial"/>
          <w:b/>
        </w:rPr>
      </w:pPr>
      <w:r w:rsidRPr="00133906">
        <w:rPr>
          <w:rFonts w:ascii="Arial" w:hAnsi="Arial" w:cs="Arial"/>
          <w:b/>
        </w:rPr>
        <w:t>2. Modelo de las 5 fuerzas de Porter y sus posteriores ampliaciones</w:t>
      </w:r>
    </w:p>
    <w:p w:rsidR="00D80704" w:rsidRDefault="00D80704" w:rsidP="006665B2">
      <w:pPr>
        <w:jc w:val="both"/>
        <w:rPr>
          <w:rFonts w:ascii="Arial" w:hAnsi="Arial" w:cs="Arial"/>
        </w:rPr>
      </w:pPr>
      <w:r w:rsidRPr="00D80704">
        <w:rPr>
          <w:rFonts w:ascii="Arial" w:hAnsi="Arial" w:cs="Arial"/>
        </w:rPr>
        <w:t xml:space="preserve">Para analizar la competencia de LLYC se usará como marco el modelo de las 5 fuerzas de Porter que señala que el éxito de una empresa depende de saber aprovechar mejor que los competidores las oportunidades y tener la capacidad de combatir las amenazas. </w:t>
      </w:r>
    </w:p>
    <w:p w:rsidR="00D80704" w:rsidRDefault="00D80704" w:rsidP="006665B2">
      <w:pPr>
        <w:jc w:val="both"/>
        <w:rPr>
          <w:rFonts w:ascii="Arial" w:hAnsi="Arial" w:cs="Arial"/>
        </w:rPr>
      </w:pPr>
      <w:r>
        <w:rPr>
          <w:rFonts w:ascii="Arial" w:hAnsi="Arial" w:cs="Arial"/>
        </w:rPr>
        <w:t>Tal y como señala Porter, para conocer a la competencia es necesario conocer:</w:t>
      </w:r>
    </w:p>
    <w:p w:rsidR="00CC5D16" w:rsidRDefault="00D80704" w:rsidP="006665B2">
      <w:pPr>
        <w:pStyle w:val="Prrafodelista"/>
        <w:numPr>
          <w:ilvl w:val="1"/>
          <w:numId w:val="4"/>
        </w:numPr>
        <w:jc w:val="both"/>
        <w:rPr>
          <w:rFonts w:ascii="Arial" w:hAnsi="Arial" w:cs="Arial"/>
          <w:u w:val="single"/>
        </w:rPr>
      </w:pPr>
      <w:r w:rsidRPr="00D80704">
        <w:rPr>
          <w:rFonts w:ascii="Arial" w:hAnsi="Arial" w:cs="Arial"/>
          <w:u w:val="single"/>
        </w:rPr>
        <w:t>La intensidad de la competencia</w:t>
      </w:r>
    </w:p>
    <w:p w:rsidR="00D80704" w:rsidRDefault="00D80704" w:rsidP="006665B2">
      <w:pPr>
        <w:pStyle w:val="Prrafodelista"/>
        <w:ind w:left="1785"/>
        <w:jc w:val="both"/>
        <w:rPr>
          <w:rFonts w:ascii="Arial" w:hAnsi="Arial" w:cs="Arial"/>
        </w:rPr>
      </w:pPr>
      <w:r>
        <w:rPr>
          <w:rFonts w:ascii="Arial" w:hAnsi="Arial" w:cs="Arial"/>
        </w:rPr>
        <w:t xml:space="preserve">Teniendo en cuenta este punto podemos asegurar que existe un gran número de competidores en el sector. Aunque por facturación y tamaño en España LLYC lidera el sector, las empresas que están en el top 10 del ranking ofrecen servicios similares a los que ofrece la empresa analizada. </w:t>
      </w:r>
    </w:p>
    <w:p w:rsidR="00D80704" w:rsidRDefault="00D80704" w:rsidP="006665B2">
      <w:pPr>
        <w:pStyle w:val="Prrafodelista"/>
        <w:ind w:left="1785"/>
        <w:jc w:val="both"/>
        <w:rPr>
          <w:rFonts w:ascii="Arial" w:hAnsi="Arial" w:cs="Arial"/>
        </w:rPr>
      </w:pPr>
      <w:r>
        <w:rPr>
          <w:rFonts w:ascii="Arial" w:hAnsi="Arial" w:cs="Arial"/>
        </w:rPr>
        <w:t xml:space="preserve">Los valores sobre los que se apoya LLYC son lo que los hace únicos: la diversidad, la apuesta digital, la flexibilidad, el ingrediente emprendedor, la especialización, el hecho de ser constructivos, profesionales y sobre todo clientecéntricos. </w:t>
      </w:r>
    </w:p>
    <w:p w:rsidR="00D80704" w:rsidRDefault="00D80704" w:rsidP="006665B2">
      <w:pPr>
        <w:pStyle w:val="Prrafodelista"/>
        <w:ind w:left="1785"/>
        <w:jc w:val="both"/>
        <w:rPr>
          <w:rFonts w:ascii="Arial" w:hAnsi="Arial" w:cs="Arial"/>
        </w:rPr>
      </w:pPr>
      <w:r>
        <w:rPr>
          <w:rFonts w:ascii="Arial" w:hAnsi="Arial" w:cs="Arial"/>
        </w:rPr>
        <w:t xml:space="preserve">Según datos del último informe PR elaborado por PR noticias y la consultora Torres y Carrera el sector está viviendo una ligera caída que está siendo superada por la mayoría de actores del sector. </w:t>
      </w:r>
    </w:p>
    <w:p w:rsidR="00A54D12" w:rsidRDefault="00A54D12" w:rsidP="006665B2">
      <w:pPr>
        <w:pStyle w:val="Prrafodelista"/>
        <w:ind w:left="1785"/>
        <w:jc w:val="both"/>
        <w:rPr>
          <w:rFonts w:ascii="Arial" w:hAnsi="Arial" w:cs="Arial"/>
        </w:rPr>
      </w:pPr>
      <w:r>
        <w:rPr>
          <w:rFonts w:ascii="Arial" w:hAnsi="Arial" w:cs="Arial"/>
        </w:rPr>
        <w:t>En este punto es importante destacar que no existen altas barreras a la movilidad, tanto la competencia como LLYC presentan cambios de segmento dentro del mismo sector. Aunque todas están especializadas en reputación y comunicación corporativa, la competencia de LLYC presenta servicios relacionados con la planificación de medios, el Market Access, la interpretaci</w:t>
      </w:r>
      <w:r w:rsidR="006665B2">
        <w:rPr>
          <w:rFonts w:ascii="Arial" w:hAnsi="Arial" w:cs="Arial"/>
        </w:rPr>
        <w:t>ón del Big Data o</w:t>
      </w:r>
      <w:r>
        <w:rPr>
          <w:rFonts w:ascii="Arial" w:hAnsi="Arial" w:cs="Arial"/>
        </w:rPr>
        <w:t xml:space="preserve"> la elaboración de </w:t>
      </w:r>
      <w:r w:rsidR="006665B2">
        <w:rPr>
          <w:rFonts w:ascii="Arial" w:hAnsi="Arial" w:cs="Arial"/>
        </w:rPr>
        <w:t>estudios de mercado.</w:t>
      </w:r>
    </w:p>
    <w:p w:rsidR="006665B2" w:rsidRPr="00D80704" w:rsidRDefault="006665B2" w:rsidP="006665B2">
      <w:pPr>
        <w:pStyle w:val="Prrafodelista"/>
        <w:ind w:left="1785"/>
        <w:jc w:val="both"/>
        <w:rPr>
          <w:rFonts w:ascii="Arial" w:hAnsi="Arial" w:cs="Arial"/>
        </w:rPr>
      </w:pPr>
    </w:p>
    <w:p w:rsidR="00CC5D16" w:rsidRPr="00914577" w:rsidRDefault="00CC5D16" w:rsidP="006665B2">
      <w:pPr>
        <w:pStyle w:val="Prrafodelista"/>
        <w:numPr>
          <w:ilvl w:val="1"/>
          <w:numId w:val="4"/>
        </w:numPr>
        <w:jc w:val="both"/>
        <w:rPr>
          <w:rFonts w:ascii="Arial" w:hAnsi="Arial" w:cs="Arial"/>
          <w:u w:val="single"/>
        </w:rPr>
      </w:pPr>
      <w:r w:rsidRPr="00914577">
        <w:rPr>
          <w:rFonts w:ascii="Arial" w:hAnsi="Arial" w:cs="Arial"/>
          <w:u w:val="single"/>
        </w:rPr>
        <w:t>Los competidores potenciales (barreras de entrada)</w:t>
      </w:r>
    </w:p>
    <w:p w:rsidR="006665B2" w:rsidRDefault="006665B2" w:rsidP="006665B2">
      <w:pPr>
        <w:pStyle w:val="Prrafodelista"/>
        <w:ind w:left="1785"/>
        <w:jc w:val="both"/>
        <w:rPr>
          <w:rFonts w:ascii="Arial" w:hAnsi="Arial" w:cs="Arial"/>
        </w:rPr>
      </w:pPr>
      <w:r>
        <w:rPr>
          <w:rFonts w:ascii="Arial" w:hAnsi="Arial" w:cs="Arial"/>
        </w:rPr>
        <w:t xml:space="preserve">Dado que se trata de un sector con alta rentabilidad, los competidores potenciales también son muy elevados. Algunas empresas que hasta ahora estaban centradas en publicidad están empezando a ofrecer servicios de comunicación, podría ser el caso de Ogilvy. Otras, como consultoras de </w:t>
      </w:r>
      <w:r>
        <w:rPr>
          <w:rFonts w:ascii="Arial" w:hAnsi="Arial" w:cs="Arial"/>
        </w:rPr>
        <w:lastRenderedPageBreak/>
        <w:t xml:space="preserve">negocio especializadas en temas estratégicos como EY o Deloitte están interesándose por el sector de la comunicación. </w:t>
      </w:r>
    </w:p>
    <w:p w:rsidR="006665B2" w:rsidRDefault="006665B2" w:rsidP="006665B2">
      <w:pPr>
        <w:pStyle w:val="Prrafodelista"/>
        <w:ind w:left="1785"/>
        <w:jc w:val="both"/>
        <w:rPr>
          <w:rFonts w:ascii="Arial" w:hAnsi="Arial" w:cs="Arial"/>
        </w:rPr>
      </w:pPr>
      <w:r>
        <w:rPr>
          <w:rFonts w:ascii="Arial" w:hAnsi="Arial" w:cs="Arial"/>
        </w:rPr>
        <w:t xml:space="preserve">En este sentido, cabe destacar que LLYC ha sido incluida dentro del top 5 de empresas con mejor reputación en España por detrás de Accenture, Inda, McKinsey y Everis relacionadas tradicionalmente con aspectos tecnológicos y de innovación más que con la reputación. </w:t>
      </w:r>
    </w:p>
    <w:p w:rsidR="006665B2" w:rsidRDefault="006665B2" w:rsidP="006665B2">
      <w:pPr>
        <w:pStyle w:val="Prrafodelista"/>
        <w:ind w:left="1785"/>
        <w:jc w:val="both"/>
        <w:rPr>
          <w:rFonts w:ascii="Arial" w:hAnsi="Arial" w:cs="Arial"/>
        </w:rPr>
      </w:pPr>
      <w:r>
        <w:rPr>
          <w:rFonts w:ascii="Arial" w:hAnsi="Arial" w:cs="Arial"/>
        </w:rPr>
        <w:t xml:space="preserve">En palabras de José Antonio Llorente, presidente de LLYC: </w:t>
      </w:r>
      <w:r w:rsidRPr="006665B2">
        <w:rPr>
          <w:rFonts w:ascii="Arial" w:hAnsi="Arial" w:cs="Arial"/>
        </w:rPr>
        <w:t>“ser considerada de nuevo como una de las consultorías más reputadas en España, por un grupo tan diverso de profesionales, ciudadanos y expertos, nos honra y pone de manifiesto la importancia del impacto reputacional para el entendimiento con tus comunidades y el crecimiento de los negocios”</w:t>
      </w:r>
    </w:p>
    <w:p w:rsidR="006665B2" w:rsidRPr="00CC5D16" w:rsidRDefault="006665B2" w:rsidP="006665B2">
      <w:pPr>
        <w:pStyle w:val="Prrafodelista"/>
        <w:ind w:left="1785"/>
        <w:rPr>
          <w:rFonts w:ascii="Arial" w:hAnsi="Arial" w:cs="Arial"/>
        </w:rPr>
      </w:pPr>
    </w:p>
    <w:p w:rsidR="00CC5D16" w:rsidRPr="00F82D2E" w:rsidRDefault="00CC5D16" w:rsidP="00CC5D16">
      <w:pPr>
        <w:pStyle w:val="Prrafodelista"/>
        <w:numPr>
          <w:ilvl w:val="1"/>
          <w:numId w:val="4"/>
        </w:numPr>
        <w:rPr>
          <w:rFonts w:ascii="Arial" w:hAnsi="Arial" w:cs="Arial"/>
          <w:u w:val="single"/>
        </w:rPr>
      </w:pPr>
      <w:r w:rsidRPr="00F82D2E">
        <w:rPr>
          <w:rFonts w:ascii="Arial" w:hAnsi="Arial" w:cs="Arial"/>
          <w:u w:val="single"/>
        </w:rPr>
        <w:t>Los productos/servicios sustitutivos.</w:t>
      </w:r>
    </w:p>
    <w:p w:rsidR="00F82D2E" w:rsidRDefault="00F82D2E" w:rsidP="00DE7F9E">
      <w:pPr>
        <w:pStyle w:val="Prrafodelista"/>
        <w:ind w:left="1785"/>
        <w:jc w:val="both"/>
        <w:rPr>
          <w:rFonts w:ascii="Arial" w:hAnsi="Arial" w:cs="Arial"/>
        </w:rPr>
      </w:pPr>
      <w:r>
        <w:rPr>
          <w:rFonts w:ascii="Arial" w:hAnsi="Arial" w:cs="Arial"/>
        </w:rPr>
        <w:t xml:space="preserve">En este punto juega un papel predominante los valores y la aportación de valor real que LLYC juega con respecto a su competencia. Se trata de un sector en el que, como se ha comentado, la mayoría de empresas que forman parte ofrecen un servicio similar, por lo que la relación calidad/precio y el nivel de satisfacción de los clientes juegan un papel esencial. En este sentido, LLYC tiene una visión única de la profesión que traslada a sus clientes basada en la honestidad, la inteligencia, la innovación, el seniority de sus equipos, las relaciones de confianza con sus colaboradores y clientes y la contribución a la sociedad a través de la Fundación LLORENTE &amp; CUENCA. </w:t>
      </w:r>
    </w:p>
    <w:p w:rsidR="00F82D2E" w:rsidRPr="00CC5D16" w:rsidRDefault="00F82D2E" w:rsidP="00F82D2E">
      <w:pPr>
        <w:pStyle w:val="Prrafodelista"/>
        <w:ind w:left="1785"/>
        <w:rPr>
          <w:rFonts w:ascii="Arial" w:hAnsi="Arial" w:cs="Arial"/>
        </w:rPr>
      </w:pPr>
    </w:p>
    <w:p w:rsidR="00CC5D16" w:rsidRDefault="00DE7F9E" w:rsidP="00CC5D16">
      <w:pPr>
        <w:rPr>
          <w:rFonts w:ascii="Arial" w:hAnsi="Arial" w:cs="Arial"/>
          <w:lang w:val="es-ES"/>
        </w:rPr>
      </w:pPr>
      <w:r>
        <w:rPr>
          <w:rFonts w:ascii="Arial" w:hAnsi="Arial" w:cs="Arial"/>
          <w:lang w:val="es-ES"/>
        </w:rPr>
        <w:t xml:space="preserve">Tal y como apuntan Downes y Mui existen otras fuerzas para analizar la estructura de un sector. Se han destacado aquellas que tienen que ver con el sector de las </w:t>
      </w:r>
      <w:r w:rsidR="004B60E4">
        <w:rPr>
          <w:rFonts w:ascii="Arial" w:hAnsi="Arial" w:cs="Arial"/>
          <w:lang w:val="es-ES"/>
        </w:rPr>
        <w:t>consultorías</w:t>
      </w:r>
      <w:r>
        <w:rPr>
          <w:rFonts w:ascii="Arial" w:hAnsi="Arial" w:cs="Arial"/>
          <w:lang w:val="es-ES"/>
        </w:rPr>
        <w:t xml:space="preserve"> de comunicación que es sobre el que versa el análisis. </w:t>
      </w:r>
    </w:p>
    <w:p w:rsidR="00CC5D16" w:rsidRDefault="00CC5D16" w:rsidP="00DE7F9E">
      <w:pPr>
        <w:pStyle w:val="Prrafodelista"/>
        <w:numPr>
          <w:ilvl w:val="0"/>
          <w:numId w:val="12"/>
        </w:numPr>
        <w:jc w:val="both"/>
        <w:rPr>
          <w:rFonts w:ascii="Arial" w:hAnsi="Arial" w:cs="Arial"/>
          <w:lang w:val="es-ES"/>
        </w:rPr>
      </w:pPr>
      <w:r w:rsidRPr="00186A70">
        <w:rPr>
          <w:rFonts w:ascii="Arial" w:hAnsi="Arial" w:cs="Arial"/>
          <w:u w:val="single"/>
          <w:lang w:val="es-ES"/>
        </w:rPr>
        <w:t>Digitalización.</w:t>
      </w:r>
      <w:r w:rsidR="00DE7F9E">
        <w:rPr>
          <w:rFonts w:ascii="Arial" w:hAnsi="Arial" w:cs="Arial"/>
          <w:lang w:val="es-ES"/>
        </w:rPr>
        <w:t xml:space="preserve"> Se trata de uno de los puntos clave para el sector. La comunicación sin la tecnología y sin tener en cuenta la aplicación de los avances en digitalización no tiene futuro. En este sentido, algunos de los competidores de LLYC trabajan de manera transversal en los equipos con profesionales que conocen el sector sobre el que versa su área y manejan a la perfección las herramientas para impactar en el entorno digital. El reto está en avanzarse en la interpretación de los datos que aporta el big data y personalizar los contenidos para llegar mejor a las comunidades de interés de los clientes. </w:t>
      </w:r>
    </w:p>
    <w:p w:rsidR="00186A70" w:rsidRPr="00CC5D16" w:rsidRDefault="00186A70" w:rsidP="00186A70">
      <w:pPr>
        <w:pStyle w:val="Prrafodelista"/>
        <w:ind w:left="1428"/>
        <w:jc w:val="both"/>
        <w:rPr>
          <w:rFonts w:ascii="Arial" w:hAnsi="Arial" w:cs="Arial"/>
          <w:lang w:val="es-ES"/>
        </w:rPr>
      </w:pPr>
    </w:p>
    <w:p w:rsidR="00186A70" w:rsidRDefault="00CC5D16" w:rsidP="00422A35">
      <w:pPr>
        <w:pStyle w:val="Prrafodelista"/>
        <w:numPr>
          <w:ilvl w:val="0"/>
          <w:numId w:val="12"/>
        </w:numPr>
        <w:jc w:val="both"/>
        <w:rPr>
          <w:rFonts w:ascii="Arial" w:hAnsi="Arial" w:cs="Arial"/>
          <w:lang w:val="es-ES"/>
        </w:rPr>
      </w:pPr>
      <w:r w:rsidRPr="00CC5D16">
        <w:rPr>
          <w:rFonts w:ascii="Arial" w:hAnsi="Arial" w:cs="Arial"/>
          <w:lang w:val="es-ES"/>
        </w:rPr>
        <w:t>Globalización</w:t>
      </w:r>
      <w:r w:rsidR="00186A70">
        <w:rPr>
          <w:rFonts w:ascii="Arial" w:hAnsi="Arial" w:cs="Arial"/>
          <w:lang w:val="es-ES"/>
        </w:rPr>
        <w:t xml:space="preserve">. La idea de comercio sin fronteras está en el ADN de LLYC desde sus orígenes. Como empresa líder en Iberia y </w:t>
      </w:r>
      <w:r w:rsidR="00E7021D">
        <w:rPr>
          <w:rFonts w:ascii="Arial" w:hAnsi="Arial" w:cs="Arial"/>
          <w:lang w:val="es-ES"/>
        </w:rPr>
        <w:t>Latinoamérica</w:t>
      </w:r>
      <w:r w:rsidR="00186A70">
        <w:rPr>
          <w:rFonts w:ascii="Arial" w:hAnsi="Arial" w:cs="Arial"/>
          <w:lang w:val="es-ES"/>
        </w:rPr>
        <w:t xml:space="preserve">, la compañía conoce  las herramientas para aprovechar al máximo el conocimiento de sus equipos y convertirse en una compañía </w:t>
      </w:r>
      <w:r w:rsidR="00186A70" w:rsidRPr="004B60E4">
        <w:rPr>
          <w:rFonts w:ascii="Arial" w:hAnsi="Arial" w:cs="Arial"/>
          <w:i/>
          <w:lang w:val="es-ES"/>
        </w:rPr>
        <w:t>glocal</w:t>
      </w:r>
      <w:r w:rsidR="00186A70">
        <w:rPr>
          <w:rFonts w:ascii="Arial" w:hAnsi="Arial" w:cs="Arial"/>
          <w:lang w:val="es-ES"/>
        </w:rPr>
        <w:t xml:space="preserve">, que actúe como boutique allí donde se implanten sus oficinas pero multipaís si el cliente lo solicita. En este sentido, forma parte de dos redes de agencias a escala internacional que le abren las puertas a nuevos mercados sin tener oficina propia en esos países. Este es uno de los </w:t>
      </w:r>
      <w:r w:rsidR="00186A70">
        <w:rPr>
          <w:rFonts w:ascii="Arial" w:hAnsi="Arial" w:cs="Arial"/>
          <w:lang w:val="es-ES"/>
        </w:rPr>
        <w:lastRenderedPageBreak/>
        <w:t xml:space="preserve">puntos diferenciales respecto a la competencia: los competidores incluidos en el top 10 de consultoras de comunicación presentan dos casos: o son compañías norteamericanas o europeas con sede en España o son empresas españolas con alguna oficina fuera de nuestras fronteras. Por eso podemos asegurar que es una ventaja competitiva la globalización. </w:t>
      </w:r>
    </w:p>
    <w:p w:rsidR="00422A35" w:rsidRPr="00422A35" w:rsidRDefault="00422A35" w:rsidP="00422A35">
      <w:pPr>
        <w:pStyle w:val="Prrafodelista"/>
        <w:rPr>
          <w:rFonts w:ascii="Arial" w:hAnsi="Arial" w:cs="Arial"/>
          <w:lang w:val="es-ES"/>
        </w:rPr>
      </w:pPr>
    </w:p>
    <w:p w:rsidR="00422A35" w:rsidRDefault="00021A3D" w:rsidP="00021A3D">
      <w:pPr>
        <w:jc w:val="both"/>
        <w:rPr>
          <w:rFonts w:ascii="Arial" w:hAnsi="Arial" w:cs="Arial"/>
          <w:lang w:val="es-ES"/>
        </w:rPr>
      </w:pPr>
      <w:r>
        <w:rPr>
          <w:rFonts w:ascii="Arial" w:hAnsi="Arial" w:cs="Arial"/>
          <w:lang w:val="es-ES"/>
        </w:rPr>
        <w:t xml:space="preserve">A continuación se presenta un cuadro resumen para presentar el impacto de LLYC respecto al sector y se deducirán posibles oportunidades y amenazas para la compañía. </w:t>
      </w:r>
    </w:p>
    <w:tbl>
      <w:tblPr>
        <w:tblStyle w:val="Tablaconcuadrcula"/>
        <w:tblW w:w="0" w:type="auto"/>
        <w:tblLook w:val="04A0" w:firstRow="1" w:lastRow="0" w:firstColumn="1" w:lastColumn="0" w:noHBand="0" w:noVBand="1"/>
      </w:tblPr>
      <w:tblGrid>
        <w:gridCol w:w="1824"/>
        <w:gridCol w:w="1771"/>
        <w:gridCol w:w="1851"/>
        <w:gridCol w:w="1984"/>
        <w:gridCol w:w="1916"/>
      </w:tblGrid>
      <w:tr w:rsidR="00CA6970" w:rsidTr="00021A3D">
        <w:tc>
          <w:tcPr>
            <w:tcW w:w="1869" w:type="dxa"/>
            <w:shd w:val="clear" w:color="auto" w:fill="C00000"/>
          </w:tcPr>
          <w:p w:rsidR="00021A3D" w:rsidRPr="00021A3D" w:rsidRDefault="00021A3D" w:rsidP="00021A3D">
            <w:pPr>
              <w:jc w:val="center"/>
              <w:rPr>
                <w:rFonts w:ascii="Arial" w:hAnsi="Arial" w:cs="Arial"/>
                <w:sz w:val="20"/>
                <w:szCs w:val="20"/>
                <w:lang w:val="es-ES"/>
              </w:rPr>
            </w:pPr>
            <w:r w:rsidRPr="00021A3D">
              <w:rPr>
                <w:rFonts w:ascii="Arial" w:hAnsi="Arial" w:cs="Arial"/>
                <w:sz w:val="20"/>
                <w:szCs w:val="20"/>
                <w:lang w:val="es-ES"/>
              </w:rPr>
              <w:t>Nombre de la compañía</w:t>
            </w:r>
          </w:p>
        </w:tc>
        <w:tc>
          <w:tcPr>
            <w:tcW w:w="1869" w:type="dxa"/>
            <w:shd w:val="clear" w:color="auto" w:fill="C00000"/>
          </w:tcPr>
          <w:p w:rsidR="00021A3D" w:rsidRPr="00021A3D" w:rsidRDefault="00021A3D" w:rsidP="00021A3D">
            <w:pPr>
              <w:jc w:val="center"/>
              <w:rPr>
                <w:rFonts w:ascii="Arial" w:hAnsi="Arial" w:cs="Arial"/>
                <w:sz w:val="20"/>
                <w:szCs w:val="20"/>
                <w:lang w:val="es-ES"/>
              </w:rPr>
            </w:pPr>
            <w:r w:rsidRPr="00021A3D">
              <w:rPr>
                <w:rFonts w:ascii="Arial" w:hAnsi="Arial" w:cs="Arial"/>
                <w:sz w:val="20"/>
                <w:szCs w:val="20"/>
                <w:lang w:val="es-ES"/>
              </w:rPr>
              <w:t>Facturación</w:t>
            </w:r>
            <w:r>
              <w:rPr>
                <w:rFonts w:ascii="Arial" w:hAnsi="Arial" w:cs="Arial"/>
                <w:sz w:val="20"/>
                <w:szCs w:val="20"/>
                <w:lang w:val="es-ES"/>
              </w:rPr>
              <w:t xml:space="preserve"> 2016</w:t>
            </w:r>
          </w:p>
        </w:tc>
        <w:tc>
          <w:tcPr>
            <w:tcW w:w="1869" w:type="dxa"/>
            <w:shd w:val="clear" w:color="auto" w:fill="C00000"/>
          </w:tcPr>
          <w:p w:rsidR="00021A3D" w:rsidRPr="00021A3D" w:rsidRDefault="00021A3D" w:rsidP="00021A3D">
            <w:pPr>
              <w:jc w:val="center"/>
              <w:rPr>
                <w:rFonts w:ascii="Arial" w:hAnsi="Arial" w:cs="Arial"/>
                <w:sz w:val="20"/>
                <w:szCs w:val="20"/>
                <w:lang w:val="es-ES"/>
              </w:rPr>
            </w:pPr>
            <w:r w:rsidRPr="00021A3D">
              <w:rPr>
                <w:rFonts w:ascii="Arial" w:hAnsi="Arial" w:cs="Arial"/>
                <w:sz w:val="20"/>
                <w:szCs w:val="20"/>
                <w:lang w:val="es-ES"/>
              </w:rPr>
              <w:t>Especialidades</w:t>
            </w:r>
          </w:p>
        </w:tc>
        <w:tc>
          <w:tcPr>
            <w:tcW w:w="1869" w:type="dxa"/>
            <w:shd w:val="clear" w:color="auto" w:fill="C00000"/>
          </w:tcPr>
          <w:p w:rsidR="00021A3D" w:rsidRPr="00021A3D" w:rsidRDefault="00021A3D" w:rsidP="00021A3D">
            <w:pPr>
              <w:jc w:val="center"/>
              <w:rPr>
                <w:rFonts w:ascii="Arial" w:hAnsi="Arial" w:cs="Arial"/>
                <w:sz w:val="20"/>
                <w:szCs w:val="20"/>
                <w:lang w:val="es-ES"/>
              </w:rPr>
            </w:pPr>
            <w:r w:rsidRPr="00021A3D">
              <w:rPr>
                <w:rFonts w:ascii="Arial" w:hAnsi="Arial" w:cs="Arial"/>
                <w:sz w:val="20"/>
                <w:szCs w:val="20"/>
                <w:lang w:val="es-ES"/>
              </w:rPr>
              <w:t>Internacionalización</w:t>
            </w:r>
          </w:p>
        </w:tc>
        <w:tc>
          <w:tcPr>
            <w:tcW w:w="1870" w:type="dxa"/>
            <w:shd w:val="clear" w:color="auto" w:fill="C00000"/>
          </w:tcPr>
          <w:p w:rsidR="00021A3D" w:rsidRPr="00021A3D" w:rsidRDefault="00021A3D" w:rsidP="00021A3D">
            <w:pPr>
              <w:jc w:val="center"/>
              <w:rPr>
                <w:rFonts w:ascii="Arial" w:hAnsi="Arial" w:cs="Arial"/>
                <w:sz w:val="20"/>
                <w:szCs w:val="20"/>
                <w:lang w:val="es-ES"/>
              </w:rPr>
            </w:pPr>
            <w:r w:rsidRPr="00021A3D">
              <w:rPr>
                <w:rFonts w:ascii="Arial" w:hAnsi="Arial" w:cs="Arial"/>
                <w:sz w:val="20"/>
                <w:szCs w:val="20"/>
                <w:lang w:val="es-ES"/>
              </w:rPr>
              <w:t>Observaciones</w:t>
            </w:r>
          </w:p>
        </w:tc>
      </w:tr>
      <w:tr w:rsidR="00021A3D" w:rsidTr="00021A3D">
        <w:tc>
          <w:tcPr>
            <w:tcW w:w="1869" w:type="dxa"/>
          </w:tcPr>
          <w:p w:rsidR="00021A3D" w:rsidRDefault="00021A3D" w:rsidP="00021A3D">
            <w:pPr>
              <w:jc w:val="both"/>
              <w:rPr>
                <w:rFonts w:ascii="Arial" w:hAnsi="Arial" w:cs="Arial"/>
                <w:lang w:val="es-ES"/>
              </w:rPr>
            </w:pPr>
            <w:r>
              <w:rPr>
                <w:rFonts w:ascii="Arial" w:hAnsi="Arial" w:cs="Arial"/>
                <w:lang w:val="es-ES"/>
              </w:rPr>
              <w:t>LLYC</w:t>
            </w:r>
          </w:p>
        </w:tc>
        <w:tc>
          <w:tcPr>
            <w:tcW w:w="1869" w:type="dxa"/>
          </w:tcPr>
          <w:p w:rsidR="00021A3D" w:rsidRDefault="00021A3D" w:rsidP="001F50E8">
            <w:pPr>
              <w:jc w:val="center"/>
              <w:rPr>
                <w:rFonts w:ascii="Arial" w:hAnsi="Arial" w:cs="Arial"/>
                <w:lang w:val="es-ES"/>
              </w:rPr>
            </w:pPr>
            <w:r>
              <w:rPr>
                <w:rFonts w:ascii="Arial" w:hAnsi="Arial" w:cs="Arial"/>
                <w:lang w:val="es-ES"/>
              </w:rPr>
              <w:t>17.191.721</w:t>
            </w:r>
          </w:p>
        </w:tc>
        <w:tc>
          <w:tcPr>
            <w:tcW w:w="1869" w:type="dxa"/>
          </w:tcPr>
          <w:p w:rsidR="00021A3D" w:rsidRDefault="00C63DED" w:rsidP="00021A3D">
            <w:pPr>
              <w:jc w:val="both"/>
              <w:rPr>
                <w:rFonts w:ascii="Arial" w:hAnsi="Arial" w:cs="Arial"/>
                <w:lang w:val="es-ES"/>
              </w:rPr>
            </w:pPr>
            <w:r>
              <w:rPr>
                <w:rFonts w:ascii="Arial" w:hAnsi="Arial" w:cs="Arial"/>
                <w:lang w:val="es-ES"/>
              </w:rPr>
              <w:t>Digital, Consumer Engagement, Estudio Creativo, Asuntos Públicos, Operaciones corporativas y mercado de capitales, crisis y riesgos, inbound marketing, talent engagement, RSC, relaciones con inversores, etc..</w:t>
            </w:r>
          </w:p>
        </w:tc>
        <w:tc>
          <w:tcPr>
            <w:tcW w:w="1869" w:type="dxa"/>
          </w:tcPr>
          <w:p w:rsidR="00021A3D" w:rsidRDefault="00C63DED" w:rsidP="00021A3D">
            <w:pPr>
              <w:jc w:val="both"/>
              <w:rPr>
                <w:rFonts w:ascii="Arial" w:hAnsi="Arial" w:cs="Arial"/>
                <w:lang w:val="es-ES"/>
              </w:rPr>
            </w:pPr>
            <w:r>
              <w:rPr>
                <w:rFonts w:ascii="Arial" w:hAnsi="Arial" w:cs="Arial"/>
                <w:lang w:val="es-ES"/>
              </w:rPr>
              <w:t>16 oficinas en 13 países</w:t>
            </w:r>
          </w:p>
        </w:tc>
        <w:tc>
          <w:tcPr>
            <w:tcW w:w="1870" w:type="dxa"/>
          </w:tcPr>
          <w:p w:rsidR="00021A3D" w:rsidRDefault="00C63DED" w:rsidP="00021A3D">
            <w:pPr>
              <w:jc w:val="both"/>
              <w:rPr>
                <w:rFonts w:ascii="Arial" w:hAnsi="Arial" w:cs="Arial"/>
                <w:lang w:val="es-ES"/>
              </w:rPr>
            </w:pPr>
            <w:r>
              <w:rPr>
                <w:rFonts w:ascii="Arial" w:hAnsi="Arial" w:cs="Arial"/>
                <w:lang w:val="es-ES"/>
              </w:rPr>
              <w:t xml:space="preserve">Cuenta con una Fundación y una red de empleados y antiguos empleados. </w:t>
            </w:r>
          </w:p>
        </w:tc>
      </w:tr>
      <w:tr w:rsidR="00021A3D" w:rsidTr="00021A3D">
        <w:tc>
          <w:tcPr>
            <w:tcW w:w="1869" w:type="dxa"/>
          </w:tcPr>
          <w:p w:rsidR="00021A3D" w:rsidRDefault="00021A3D" w:rsidP="00021A3D">
            <w:pPr>
              <w:jc w:val="both"/>
              <w:rPr>
                <w:rFonts w:ascii="Arial" w:hAnsi="Arial" w:cs="Arial"/>
                <w:lang w:val="es-ES"/>
              </w:rPr>
            </w:pPr>
            <w:r>
              <w:rPr>
                <w:rFonts w:ascii="Arial" w:hAnsi="Arial" w:cs="Arial"/>
                <w:lang w:val="es-ES"/>
              </w:rPr>
              <w:t>Atrevia</w:t>
            </w:r>
          </w:p>
        </w:tc>
        <w:tc>
          <w:tcPr>
            <w:tcW w:w="1869" w:type="dxa"/>
          </w:tcPr>
          <w:p w:rsidR="00021A3D" w:rsidRDefault="00021A3D" w:rsidP="001F50E8">
            <w:pPr>
              <w:jc w:val="center"/>
              <w:rPr>
                <w:rFonts w:ascii="Arial" w:hAnsi="Arial" w:cs="Arial"/>
                <w:lang w:val="es-ES"/>
              </w:rPr>
            </w:pPr>
            <w:r>
              <w:rPr>
                <w:rFonts w:ascii="Arial" w:hAnsi="Arial" w:cs="Arial"/>
                <w:lang w:val="es-ES"/>
              </w:rPr>
              <w:t>16.410.000</w:t>
            </w:r>
          </w:p>
        </w:tc>
        <w:tc>
          <w:tcPr>
            <w:tcW w:w="1869" w:type="dxa"/>
          </w:tcPr>
          <w:p w:rsidR="00021A3D" w:rsidRDefault="00C63DED" w:rsidP="00021A3D">
            <w:pPr>
              <w:jc w:val="both"/>
              <w:rPr>
                <w:rFonts w:ascii="Arial" w:hAnsi="Arial" w:cs="Arial"/>
                <w:lang w:val="es-ES"/>
              </w:rPr>
            </w:pPr>
            <w:r>
              <w:rPr>
                <w:rFonts w:ascii="Arial" w:hAnsi="Arial" w:cs="Arial"/>
                <w:lang w:val="es-ES"/>
              </w:rPr>
              <w:t xml:space="preserve">Están organizados en 3 ejes: agencia, consultoría y tecnología. Cuentan con </w:t>
            </w:r>
            <w:r w:rsidR="00E7021D">
              <w:rPr>
                <w:rFonts w:ascii="Arial" w:hAnsi="Arial" w:cs="Arial"/>
                <w:lang w:val="es-ES"/>
              </w:rPr>
              <w:t>más</w:t>
            </w:r>
            <w:r>
              <w:rPr>
                <w:rFonts w:ascii="Arial" w:hAnsi="Arial" w:cs="Arial"/>
                <w:lang w:val="es-ES"/>
              </w:rPr>
              <w:t xml:space="preserve"> de 20 áreas de especialización.</w:t>
            </w:r>
          </w:p>
        </w:tc>
        <w:tc>
          <w:tcPr>
            <w:tcW w:w="1869" w:type="dxa"/>
          </w:tcPr>
          <w:p w:rsidR="00021A3D" w:rsidRDefault="00C63DED" w:rsidP="00021A3D">
            <w:pPr>
              <w:jc w:val="both"/>
              <w:rPr>
                <w:rFonts w:ascii="Arial" w:hAnsi="Arial" w:cs="Arial"/>
                <w:lang w:val="es-ES"/>
              </w:rPr>
            </w:pPr>
            <w:r>
              <w:rPr>
                <w:rFonts w:ascii="Arial" w:hAnsi="Arial" w:cs="Arial"/>
                <w:lang w:val="es-ES"/>
              </w:rPr>
              <w:t>Oficinas propias en 16 países</w:t>
            </w:r>
          </w:p>
        </w:tc>
        <w:tc>
          <w:tcPr>
            <w:tcW w:w="1870" w:type="dxa"/>
          </w:tcPr>
          <w:p w:rsidR="00021A3D" w:rsidRDefault="00C63DED" w:rsidP="00021A3D">
            <w:pPr>
              <w:jc w:val="both"/>
              <w:rPr>
                <w:rFonts w:ascii="Arial" w:hAnsi="Arial" w:cs="Arial"/>
                <w:lang w:val="es-ES"/>
              </w:rPr>
            </w:pPr>
            <w:r>
              <w:rPr>
                <w:rFonts w:ascii="Arial" w:hAnsi="Arial" w:cs="Arial"/>
                <w:lang w:val="es-ES"/>
              </w:rPr>
              <w:t>Desarrollan conocimiento a través de la investigación de la mano de escuelas de negocios muy reputadas en España</w:t>
            </w:r>
            <w:r w:rsidR="00E7021D">
              <w:rPr>
                <w:rFonts w:ascii="Arial" w:hAnsi="Arial" w:cs="Arial"/>
                <w:lang w:val="es-ES"/>
              </w:rPr>
              <w:t>...</w:t>
            </w:r>
            <w:r>
              <w:rPr>
                <w:rFonts w:ascii="Arial" w:hAnsi="Arial" w:cs="Arial"/>
                <w:lang w:val="es-ES"/>
              </w:rPr>
              <w:t xml:space="preserve"> </w:t>
            </w:r>
          </w:p>
        </w:tc>
      </w:tr>
      <w:tr w:rsidR="00021A3D" w:rsidRPr="0012543B" w:rsidTr="00021A3D">
        <w:tc>
          <w:tcPr>
            <w:tcW w:w="1869" w:type="dxa"/>
          </w:tcPr>
          <w:p w:rsidR="00021A3D" w:rsidRDefault="00021A3D" w:rsidP="00021A3D">
            <w:pPr>
              <w:jc w:val="both"/>
              <w:rPr>
                <w:rFonts w:ascii="Arial" w:hAnsi="Arial" w:cs="Arial"/>
                <w:lang w:val="es-ES"/>
              </w:rPr>
            </w:pPr>
            <w:r>
              <w:rPr>
                <w:rFonts w:ascii="Arial" w:hAnsi="Arial" w:cs="Arial"/>
                <w:lang w:val="es-ES"/>
              </w:rPr>
              <w:t>Globally</w:t>
            </w:r>
            <w:r w:rsidR="0012543B">
              <w:rPr>
                <w:rFonts w:ascii="Arial" w:hAnsi="Arial" w:cs="Arial"/>
                <w:lang w:val="es-ES"/>
              </w:rPr>
              <w:t xml:space="preserve"> (ahora Newlink)</w:t>
            </w:r>
          </w:p>
        </w:tc>
        <w:tc>
          <w:tcPr>
            <w:tcW w:w="1869" w:type="dxa"/>
          </w:tcPr>
          <w:p w:rsidR="00021A3D" w:rsidRDefault="00021A3D" w:rsidP="001F50E8">
            <w:pPr>
              <w:jc w:val="center"/>
              <w:rPr>
                <w:rFonts w:ascii="Arial" w:hAnsi="Arial" w:cs="Arial"/>
                <w:lang w:val="es-ES"/>
              </w:rPr>
            </w:pPr>
            <w:r>
              <w:rPr>
                <w:rFonts w:ascii="Arial" w:hAnsi="Arial" w:cs="Arial"/>
                <w:lang w:val="es-ES"/>
              </w:rPr>
              <w:t>9.586.504</w:t>
            </w:r>
          </w:p>
        </w:tc>
        <w:tc>
          <w:tcPr>
            <w:tcW w:w="1869" w:type="dxa"/>
          </w:tcPr>
          <w:p w:rsidR="00021A3D" w:rsidRPr="0012543B" w:rsidRDefault="0012543B" w:rsidP="00021A3D">
            <w:pPr>
              <w:jc w:val="both"/>
              <w:rPr>
                <w:rFonts w:ascii="Arial" w:hAnsi="Arial" w:cs="Arial"/>
                <w:lang w:val="en-US"/>
              </w:rPr>
            </w:pPr>
            <w:r>
              <w:rPr>
                <w:rFonts w:ascii="Arial" w:hAnsi="Arial" w:cs="Arial"/>
                <w:lang w:val="en-US"/>
              </w:rPr>
              <w:t>L</w:t>
            </w:r>
            <w:r w:rsidRPr="0012543B">
              <w:rPr>
                <w:rFonts w:ascii="Arial" w:hAnsi="Arial" w:cs="Arial"/>
                <w:lang w:val="en-US"/>
              </w:rPr>
              <w:t>ifestyle, fashion &amp; beauty y eventos</w:t>
            </w:r>
          </w:p>
        </w:tc>
        <w:tc>
          <w:tcPr>
            <w:tcW w:w="1869" w:type="dxa"/>
          </w:tcPr>
          <w:p w:rsidR="00021A3D" w:rsidRPr="0012543B" w:rsidRDefault="0012543B" w:rsidP="0012543B">
            <w:pPr>
              <w:rPr>
                <w:rFonts w:ascii="Arial" w:hAnsi="Arial" w:cs="Arial"/>
                <w:lang w:val="es-ES"/>
              </w:rPr>
            </w:pPr>
            <w:r w:rsidRPr="0012543B">
              <w:rPr>
                <w:rFonts w:ascii="Arial" w:hAnsi="Arial" w:cs="Arial"/>
                <w:lang w:val="es-ES"/>
              </w:rPr>
              <w:t>Oficinas en 7 países y socios estrat</w:t>
            </w:r>
            <w:r>
              <w:rPr>
                <w:rFonts w:ascii="Arial" w:hAnsi="Arial" w:cs="Arial"/>
                <w:lang w:val="es-ES"/>
              </w:rPr>
              <w:t>égicos en 11 países de alrededor del mundo</w:t>
            </w:r>
          </w:p>
        </w:tc>
        <w:tc>
          <w:tcPr>
            <w:tcW w:w="1870" w:type="dxa"/>
          </w:tcPr>
          <w:p w:rsidR="00021A3D" w:rsidRPr="0012543B" w:rsidRDefault="0012543B" w:rsidP="00021A3D">
            <w:pPr>
              <w:jc w:val="both"/>
              <w:rPr>
                <w:rFonts w:ascii="Arial" w:hAnsi="Arial" w:cs="Arial"/>
                <w:lang w:val="es-ES"/>
              </w:rPr>
            </w:pPr>
            <w:r w:rsidRPr="0012543B">
              <w:rPr>
                <w:rFonts w:ascii="Arial" w:hAnsi="Arial" w:cs="Arial"/>
                <w:lang w:val="es-ES"/>
              </w:rPr>
              <w:t>La sede de la compañ</w:t>
            </w:r>
            <w:r>
              <w:rPr>
                <w:rFonts w:ascii="Arial" w:hAnsi="Arial" w:cs="Arial"/>
                <w:lang w:val="es-ES"/>
              </w:rPr>
              <w:t xml:space="preserve">ía está en Miami. </w:t>
            </w:r>
          </w:p>
        </w:tc>
      </w:tr>
      <w:tr w:rsidR="00021A3D" w:rsidTr="00021A3D">
        <w:tc>
          <w:tcPr>
            <w:tcW w:w="1869" w:type="dxa"/>
          </w:tcPr>
          <w:p w:rsidR="00021A3D" w:rsidRDefault="00021A3D" w:rsidP="00021A3D">
            <w:pPr>
              <w:jc w:val="both"/>
              <w:rPr>
                <w:rFonts w:ascii="Arial" w:hAnsi="Arial" w:cs="Arial"/>
                <w:lang w:val="es-ES"/>
              </w:rPr>
            </w:pPr>
            <w:r>
              <w:rPr>
                <w:rFonts w:ascii="Arial" w:hAnsi="Arial" w:cs="Arial"/>
                <w:lang w:val="es-ES"/>
              </w:rPr>
              <w:t>Ketchum</w:t>
            </w:r>
            <w:r w:rsidR="00244A81">
              <w:rPr>
                <w:rFonts w:ascii="Arial" w:hAnsi="Arial" w:cs="Arial"/>
                <w:lang w:val="es-ES"/>
              </w:rPr>
              <w:t xml:space="preserve"> (ahora Omnicom)</w:t>
            </w:r>
          </w:p>
        </w:tc>
        <w:tc>
          <w:tcPr>
            <w:tcW w:w="1869" w:type="dxa"/>
          </w:tcPr>
          <w:p w:rsidR="00021A3D" w:rsidRDefault="00021A3D" w:rsidP="001F50E8">
            <w:pPr>
              <w:jc w:val="center"/>
              <w:rPr>
                <w:rFonts w:ascii="Arial" w:hAnsi="Arial" w:cs="Arial"/>
                <w:lang w:val="es-ES"/>
              </w:rPr>
            </w:pPr>
            <w:r>
              <w:rPr>
                <w:rFonts w:ascii="Arial" w:hAnsi="Arial" w:cs="Arial"/>
                <w:lang w:val="es-ES"/>
              </w:rPr>
              <w:t>8.654.472</w:t>
            </w:r>
          </w:p>
        </w:tc>
        <w:tc>
          <w:tcPr>
            <w:tcW w:w="1869" w:type="dxa"/>
          </w:tcPr>
          <w:p w:rsidR="00021A3D" w:rsidRDefault="00244A81" w:rsidP="00244A81">
            <w:pPr>
              <w:rPr>
                <w:lang w:val="es-ES"/>
              </w:rPr>
            </w:pPr>
            <w:r w:rsidRPr="00244A81">
              <w:rPr>
                <w:rFonts w:ascii="Arial" w:hAnsi="Arial" w:cs="Arial"/>
                <w:lang w:val="es-ES"/>
              </w:rPr>
              <w:t xml:space="preserve">Salud y nutrición, finanzas y seguros, alimentación y </w:t>
            </w:r>
            <w:r w:rsidRPr="00244A81">
              <w:rPr>
                <w:rFonts w:ascii="Arial" w:hAnsi="Arial" w:cs="Arial"/>
                <w:lang w:val="es-ES"/>
              </w:rPr>
              <w:lastRenderedPageBreak/>
              <w:t>bebidas, belleza y lujo,  tecnología o turismo</w:t>
            </w:r>
          </w:p>
        </w:tc>
        <w:tc>
          <w:tcPr>
            <w:tcW w:w="1869" w:type="dxa"/>
          </w:tcPr>
          <w:p w:rsidR="00021A3D" w:rsidRDefault="00244A81" w:rsidP="00021A3D">
            <w:pPr>
              <w:jc w:val="both"/>
              <w:rPr>
                <w:rFonts w:ascii="Arial" w:hAnsi="Arial" w:cs="Arial"/>
                <w:lang w:val="es-ES"/>
              </w:rPr>
            </w:pPr>
            <w:r w:rsidRPr="00244A81">
              <w:rPr>
                <w:rFonts w:ascii="Arial" w:hAnsi="Arial" w:cs="Arial"/>
                <w:lang w:val="es-ES"/>
              </w:rPr>
              <w:lastRenderedPageBreak/>
              <w:t>4 oficinas propias en Iberia</w:t>
            </w:r>
          </w:p>
        </w:tc>
        <w:tc>
          <w:tcPr>
            <w:tcW w:w="1870" w:type="dxa"/>
          </w:tcPr>
          <w:p w:rsidR="00021A3D" w:rsidRDefault="00244A81" w:rsidP="00244A81">
            <w:pPr>
              <w:jc w:val="both"/>
              <w:rPr>
                <w:rFonts w:ascii="Arial" w:hAnsi="Arial" w:cs="Arial"/>
                <w:lang w:val="es-ES"/>
              </w:rPr>
            </w:pPr>
            <w:r>
              <w:rPr>
                <w:rFonts w:ascii="Arial" w:hAnsi="Arial" w:cs="Arial"/>
                <w:lang w:val="es-ES"/>
              </w:rPr>
              <w:t xml:space="preserve">En mayo de 2019 lanzó Cumbia, </w:t>
            </w:r>
            <w:r w:rsidRPr="00244A81">
              <w:rPr>
                <w:rFonts w:ascii="Arial" w:hAnsi="Arial" w:cs="Arial"/>
                <w:lang w:val="es-ES"/>
              </w:rPr>
              <w:t>una marca espe</w:t>
            </w:r>
            <w:r>
              <w:rPr>
                <w:rFonts w:ascii="Arial" w:hAnsi="Arial" w:cs="Arial"/>
                <w:lang w:val="es-ES"/>
              </w:rPr>
              <w:t xml:space="preserve">cializada en </w:t>
            </w:r>
            <w:r>
              <w:rPr>
                <w:rFonts w:ascii="Arial" w:hAnsi="Arial" w:cs="Arial"/>
                <w:lang w:val="es-ES"/>
              </w:rPr>
              <w:lastRenderedPageBreak/>
              <w:t xml:space="preserve">diseño estratégico. </w:t>
            </w:r>
          </w:p>
        </w:tc>
      </w:tr>
      <w:tr w:rsidR="00021A3D" w:rsidTr="00021A3D">
        <w:tc>
          <w:tcPr>
            <w:tcW w:w="1869" w:type="dxa"/>
          </w:tcPr>
          <w:p w:rsidR="00021A3D" w:rsidRDefault="00021A3D" w:rsidP="00021A3D">
            <w:pPr>
              <w:jc w:val="both"/>
              <w:rPr>
                <w:rFonts w:ascii="Arial" w:hAnsi="Arial" w:cs="Arial"/>
                <w:lang w:val="es-ES"/>
              </w:rPr>
            </w:pPr>
            <w:r>
              <w:rPr>
                <w:rFonts w:ascii="Arial" w:hAnsi="Arial" w:cs="Arial"/>
                <w:lang w:val="es-ES"/>
              </w:rPr>
              <w:lastRenderedPageBreak/>
              <w:t>Kreab</w:t>
            </w:r>
          </w:p>
        </w:tc>
        <w:tc>
          <w:tcPr>
            <w:tcW w:w="1869" w:type="dxa"/>
          </w:tcPr>
          <w:p w:rsidR="00021A3D" w:rsidRDefault="00021A3D" w:rsidP="001F50E8">
            <w:pPr>
              <w:jc w:val="center"/>
              <w:rPr>
                <w:rFonts w:ascii="Arial" w:hAnsi="Arial" w:cs="Arial"/>
                <w:lang w:val="es-ES"/>
              </w:rPr>
            </w:pPr>
            <w:r>
              <w:rPr>
                <w:rFonts w:ascii="Arial" w:hAnsi="Arial" w:cs="Arial"/>
                <w:lang w:val="es-ES"/>
              </w:rPr>
              <w:t>8.463.438</w:t>
            </w:r>
          </w:p>
        </w:tc>
        <w:tc>
          <w:tcPr>
            <w:tcW w:w="1869" w:type="dxa"/>
          </w:tcPr>
          <w:p w:rsidR="00244A81" w:rsidRDefault="00244A81" w:rsidP="00021A3D">
            <w:pPr>
              <w:jc w:val="both"/>
              <w:rPr>
                <w:rFonts w:ascii="Arial" w:hAnsi="Arial" w:cs="Arial"/>
                <w:lang w:val="es-ES"/>
              </w:rPr>
            </w:pPr>
            <w:r>
              <w:rPr>
                <w:rFonts w:ascii="Arial" w:hAnsi="Arial" w:cs="Arial"/>
                <w:lang w:val="es-ES"/>
              </w:rPr>
              <w:t xml:space="preserve">Comunicación corporativa, reputación e intangibles, comunicación financiera, public affairs y comunicación digital. </w:t>
            </w:r>
          </w:p>
        </w:tc>
        <w:tc>
          <w:tcPr>
            <w:tcW w:w="1869" w:type="dxa"/>
          </w:tcPr>
          <w:p w:rsidR="00021A3D" w:rsidRDefault="00662022" w:rsidP="00021A3D">
            <w:pPr>
              <w:jc w:val="both"/>
              <w:rPr>
                <w:rFonts w:ascii="Arial" w:hAnsi="Arial" w:cs="Arial"/>
                <w:lang w:val="es-ES"/>
              </w:rPr>
            </w:pPr>
            <w:r>
              <w:rPr>
                <w:rFonts w:ascii="Arial" w:hAnsi="Arial" w:cs="Arial"/>
                <w:lang w:val="es-ES"/>
              </w:rPr>
              <w:t xml:space="preserve">Tiene presencia en </w:t>
            </w:r>
            <w:r w:rsidR="00E7021D">
              <w:rPr>
                <w:rFonts w:ascii="Arial" w:hAnsi="Arial" w:cs="Arial"/>
                <w:lang w:val="es-ES"/>
              </w:rPr>
              <w:t>Norteamérica</w:t>
            </w:r>
            <w:r>
              <w:rPr>
                <w:rFonts w:ascii="Arial" w:hAnsi="Arial" w:cs="Arial"/>
                <w:lang w:val="es-ES"/>
              </w:rPr>
              <w:t xml:space="preserve">, </w:t>
            </w:r>
            <w:r w:rsidR="00E7021D">
              <w:rPr>
                <w:rFonts w:ascii="Arial" w:hAnsi="Arial" w:cs="Arial"/>
                <w:lang w:val="es-ES"/>
              </w:rPr>
              <w:t>Latinoamérica</w:t>
            </w:r>
            <w:r>
              <w:rPr>
                <w:rFonts w:ascii="Arial" w:hAnsi="Arial" w:cs="Arial"/>
                <w:lang w:val="es-ES"/>
              </w:rPr>
              <w:t xml:space="preserve">, Europa, </w:t>
            </w:r>
            <w:r w:rsidR="00E7021D">
              <w:rPr>
                <w:rFonts w:ascii="Arial" w:hAnsi="Arial" w:cs="Arial"/>
                <w:lang w:val="es-ES"/>
              </w:rPr>
              <w:t>África</w:t>
            </w:r>
            <w:r>
              <w:rPr>
                <w:rFonts w:ascii="Arial" w:hAnsi="Arial" w:cs="Arial"/>
                <w:lang w:val="es-ES"/>
              </w:rPr>
              <w:t xml:space="preserve"> y Asia.</w:t>
            </w:r>
          </w:p>
        </w:tc>
        <w:tc>
          <w:tcPr>
            <w:tcW w:w="1870" w:type="dxa"/>
          </w:tcPr>
          <w:p w:rsidR="00021A3D" w:rsidRDefault="003C549A" w:rsidP="00021A3D">
            <w:pPr>
              <w:jc w:val="both"/>
              <w:rPr>
                <w:rFonts w:ascii="Arial" w:hAnsi="Arial" w:cs="Arial"/>
                <w:lang w:val="es-ES"/>
              </w:rPr>
            </w:pPr>
            <w:r>
              <w:rPr>
                <w:rFonts w:ascii="Arial" w:hAnsi="Arial" w:cs="Arial"/>
                <w:lang w:val="es-ES"/>
              </w:rPr>
              <w:t xml:space="preserve">Panamá y Argentina son los últimos mercados en los que entrado a través de colaboraciones con agencias locales. </w:t>
            </w:r>
          </w:p>
        </w:tc>
      </w:tr>
      <w:tr w:rsidR="00021A3D" w:rsidTr="00021A3D">
        <w:tc>
          <w:tcPr>
            <w:tcW w:w="1869" w:type="dxa"/>
          </w:tcPr>
          <w:p w:rsidR="00021A3D" w:rsidRDefault="00021A3D" w:rsidP="00021A3D">
            <w:pPr>
              <w:jc w:val="both"/>
              <w:rPr>
                <w:rFonts w:ascii="Arial" w:hAnsi="Arial" w:cs="Arial"/>
                <w:lang w:val="es-ES"/>
              </w:rPr>
            </w:pPr>
            <w:r>
              <w:rPr>
                <w:rFonts w:ascii="Arial" w:hAnsi="Arial" w:cs="Arial"/>
                <w:lang w:val="es-ES"/>
              </w:rPr>
              <w:t>Burson Masteller</w:t>
            </w:r>
            <w:r w:rsidR="00D91B44">
              <w:rPr>
                <w:rFonts w:ascii="Arial" w:hAnsi="Arial" w:cs="Arial"/>
                <w:lang w:val="es-ES"/>
              </w:rPr>
              <w:t xml:space="preserve"> (ahora </w:t>
            </w:r>
            <w:r w:rsidR="00D91B44" w:rsidRPr="00D91B44">
              <w:rPr>
                <w:rFonts w:ascii="Arial" w:hAnsi="Arial" w:cs="Arial"/>
                <w:lang w:val="es-ES"/>
              </w:rPr>
              <w:t>Burson Cohn &amp; Wolfe</w:t>
            </w:r>
            <w:r w:rsidR="00D91B44">
              <w:rPr>
                <w:rFonts w:ascii="Arial" w:hAnsi="Arial" w:cs="Arial"/>
                <w:lang w:val="es-ES"/>
              </w:rPr>
              <w:t>)</w:t>
            </w:r>
          </w:p>
        </w:tc>
        <w:tc>
          <w:tcPr>
            <w:tcW w:w="1869" w:type="dxa"/>
          </w:tcPr>
          <w:p w:rsidR="00021A3D" w:rsidRDefault="00021A3D" w:rsidP="001F50E8">
            <w:pPr>
              <w:jc w:val="center"/>
              <w:rPr>
                <w:rFonts w:ascii="Arial" w:hAnsi="Arial" w:cs="Arial"/>
                <w:lang w:val="es-ES"/>
              </w:rPr>
            </w:pPr>
            <w:r>
              <w:rPr>
                <w:rFonts w:ascii="Arial" w:hAnsi="Arial" w:cs="Arial"/>
                <w:lang w:val="es-ES"/>
              </w:rPr>
              <w:t>8.133.347</w:t>
            </w:r>
          </w:p>
        </w:tc>
        <w:tc>
          <w:tcPr>
            <w:tcW w:w="1869" w:type="dxa"/>
          </w:tcPr>
          <w:p w:rsidR="00021A3D" w:rsidRDefault="00462B0D" w:rsidP="00462B0D">
            <w:pPr>
              <w:jc w:val="both"/>
              <w:rPr>
                <w:rFonts w:ascii="Arial" w:hAnsi="Arial" w:cs="Arial"/>
                <w:lang w:val="es-ES"/>
              </w:rPr>
            </w:pPr>
            <w:r>
              <w:rPr>
                <w:rFonts w:ascii="Arial" w:hAnsi="Arial" w:cs="Arial"/>
                <w:lang w:val="es-ES"/>
              </w:rPr>
              <w:t>C</w:t>
            </w:r>
            <w:r w:rsidRPr="00462B0D">
              <w:rPr>
                <w:rFonts w:ascii="Arial" w:hAnsi="Arial" w:cs="Arial"/>
                <w:lang w:val="es-ES"/>
              </w:rPr>
              <w:t>omunicación de consumo y de marca</w:t>
            </w:r>
            <w:r>
              <w:rPr>
                <w:rFonts w:ascii="Arial" w:hAnsi="Arial" w:cs="Arial"/>
                <w:lang w:val="es-ES"/>
              </w:rPr>
              <w:t>, C</w:t>
            </w:r>
            <w:r w:rsidRPr="00462B0D">
              <w:rPr>
                <w:rFonts w:ascii="Arial" w:hAnsi="Arial" w:cs="Arial"/>
                <w:lang w:val="es-ES"/>
              </w:rPr>
              <w:t>omunicación corporativa</w:t>
            </w:r>
            <w:r>
              <w:rPr>
                <w:rFonts w:ascii="Arial" w:hAnsi="Arial" w:cs="Arial"/>
                <w:lang w:val="es-ES"/>
              </w:rPr>
              <w:t xml:space="preserve">, </w:t>
            </w:r>
            <w:r w:rsidRPr="00462B0D">
              <w:rPr>
                <w:rFonts w:ascii="Arial" w:hAnsi="Arial" w:cs="Arial"/>
                <w:lang w:val="es-ES"/>
              </w:rPr>
              <w:t>Comunicación de crisis</w:t>
            </w:r>
            <w:r>
              <w:rPr>
                <w:rFonts w:ascii="Arial" w:hAnsi="Arial" w:cs="Arial"/>
                <w:lang w:val="es-ES"/>
              </w:rPr>
              <w:t xml:space="preserve">, </w:t>
            </w:r>
            <w:r w:rsidRPr="00462B0D">
              <w:rPr>
                <w:rFonts w:ascii="Arial" w:hAnsi="Arial" w:cs="Arial"/>
                <w:lang w:val="es-ES"/>
              </w:rPr>
              <w:t xml:space="preserve"> Relación con los medios</w:t>
            </w:r>
            <w:r>
              <w:rPr>
                <w:rFonts w:ascii="Arial" w:hAnsi="Arial" w:cs="Arial"/>
                <w:lang w:val="es-ES"/>
              </w:rPr>
              <w:t>, P</w:t>
            </w:r>
            <w:r w:rsidRPr="00462B0D">
              <w:rPr>
                <w:rFonts w:ascii="Arial" w:hAnsi="Arial" w:cs="Arial"/>
                <w:lang w:val="es-ES"/>
              </w:rPr>
              <w:t>ublic affairs</w:t>
            </w:r>
            <w:r>
              <w:rPr>
                <w:rFonts w:ascii="Arial" w:hAnsi="Arial" w:cs="Arial"/>
                <w:lang w:val="es-ES"/>
              </w:rPr>
              <w:t xml:space="preserve">, </w:t>
            </w:r>
            <w:r w:rsidRPr="00462B0D">
              <w:rPr>
                <w:rFonts w:ascii="Arial" w:hAnsi="Arial" w:cs="Arial"/>
                <w:lang w:val="es-ES"/>
              </w:rPr>
              <w:t>Redes sociales y digital</w:t>
            </w:r>
            <w:r>
              <w:rPr>
                <w:rFonts w:ascii="Arial" w:hAnsi="Arial" w:cs="Arial"/>
                <w:lang w:val="es-ES"/>
              </w:rPr>
              <w:t xml:space="preserve"> y c</w:t>
            </w:r>
            <w:r w:rsidRPr="00462B0D">
              <w:rPr>
                <w:rFonts w:ascii="Arial" w:hAnsi="Arial" w:cs="Arial"/>
                <w:lang w:val="es-ES"/>
              </w:rPr>
              <w:t>oordinación internacional en medios y plataformas</w:t>
            </w:r>
          </w:p>
        </w:tc>
        <w:tc>
          <w:tcPr>
            <w:tcW w:w="1869" w:type="dxa"/>
          </w:tcPr>
          <w:p w:rsidR="00021A3D" w:rsidRDefault="00B177AE" w:rsidP="00021A3D">
            <w:pPr>
              <w:jc w:val="both"/>
              <w:rPr>
                <w:rFonts w:ascii="Arial" w:hAnsi="Arial" w:cs="Arial"/>
                <w:lang w:val="es-ES"/>
              </w:rPr>
            </w:pPr>
            <w:r>
              <w:rPr>
                <w:rFonts w:ascii="Arial" w:hAnsi="Arial" w:cs="Arial"/>
                <w:lang w:val="es-ES"/>
              </w:rPr>
              <w:t xml:space="preserve">Tiene presencia en </w:t>
            </w:r>
            <w:r w:rsidR="00E7021D">
              <w:rPr>
                <w:rFonts w:ascii="Arial" w:hAnsi="Arial" w:cs="Arial"/>
                <w:lang w:val="es-ES"/>
              </w:rPr>
              <w:t>Norteamérica</w:t>
            </w:r>
            <w:r>
              <w:rPr>
                <w:rFonts w:ascii="Arial" w:hAnsi="Arial" w:cs="Arial"/>
                <w:lang w:val="es-ES"/>
              </w:rPr>
              <w:t xml:space="preserve">, </w:t>
            </w:r>
            <w:r w:rsidR="00E7021D">
              <w:rPr>
                <w:rFonts w:ascii="Arial" w:hAnsi="Arial" w:cs="Arial"/>
                <w:lang w:val="es-ES"/>
              </w:rPr>
              <w:t>Latinoamérica</w:t>
            </w:r>
            <w:r>
              <w:rPr>
                <w:rFonts w:ascii="Arial" w:hAnsi="Arial" w:cs="Arial"/>
                <w:lang w:val="es-ES"/>
              </w:rPr>
              <w:t xml:space="preserve">, Europa, </w:t>
            </w:r>
            <w:r w:rsidR="00E7021D">
              <w:rPr>
                <w:rFonts w:ascii="Arial" w:hAnsi="Arial" w:cs="Arial"/>
                <w:lang w:val="es-ES"/>
              </w:rPr>
              <w:t>África</w:t>
            </w:r>
            <w:r>
              <w:rPr>
                <w:rFonts w:ascii="Arial" w:hAnsi="Arial" w:cs="Arial"/>
                <w:lang w:val="es-ES"/>
              </w:rPr>
              <w:t xml:space="preserve"> y Asia.</w:t>
            </w:r>
          </w:p>
        </w:tc>
        <w:tc>
          <w:tcPr>
            <w:tcW w:w="1870" w:type="dxa"/>
          </w:tcPr>
          <w:p w:rsidR="00021A3D" w:rsidRDefault="00462B0D" w:rsidP="00021A3D">
            <w:pPr>
              <w:jc w:val="both"/>
              <w:rPr>
                <w:rFonts w:ascii="Arial" w:hAnsi="Arial" w:cs="Arial"/>
                <w:lang w:val="es-ES"/>
              </w:rPr>
            </w:pPr>
            <w:r>
              <w:rPr>
                <w:rFonts w:ascii="Arial" w:hAnsi="Arial" w:cs="Arial"/>
                <w:lang w:val="es-ES"/>
              </w:rPr>
              <w:t>P</w:t>
            </w:r>
            <w:r w:rsidRPr="00462B0D">
              <w:rPr>
                <w:rFonts w:ascii="Arial" w:hAnsi="Arial" w:cs="Arial"/>
                <w:lang w:val="es-ES"/>
              </w:rPr>
              <w:t>odría colocarse como cuarta consultora de comunicación más grande del mundo</w:t>
            </w:r>
          </w:p>
        </w:tc>
      </w:tr>
      <w:tr w:rsidR="00021A3D" w:rsidTr="00021A3D">
        <w:tc>
          <w:tcPr>
            <w:tcW w:w="1869" w:type="dxa"/>
          </w:tcPr>
          <w:p w:rsidR="00021A3D" w:rsidRDefault="00021A3D" w:rsidP="00021A3D">
            <w:pPr>
              <w:jc w:val="both"/>
              <w:rPr>
                <w:rFonts w:ascii="Arial" w:hAnsi="Arial" w:cs="Arial"/>
                <w:lang w:val="es-ES"/>
              </w:rPr>
            </w:pPr>
            <w:r>
              <w:rPr>
                <w:rFonts w:ascii="Arial" w:hAnsi="Arial" w:cs="Arial"/>
                <w:lang w:val="es-ES"/>
              </w:rPr>
              <w:t>Equipo Singular</w:t>
            </w:r>
          </w:p>
        </w:tc>
        <w:tc>
          <w:tcPr>
            <w:tcW w:w="1869" w:type="dxa"/>
          </w:tcPr>
          <w:p w:rsidR="00021A3D" w:rsidRDefault="00021A3D" w:rsidP="001F50E8">
            <w:pPr>
              <w:jc w:val="center"/>
              <w:rPr>
                <w:rFonts w:ascii="Arial" w:hAnsi="Arial" w:cs="Arial"/>
                <w:lang w:val="es-ES"/>
              </w:rPr>
            </w:pPr>
            <w:r>
              <w:rPr>
                <w:rFonts w:ascii="Arial" w:hAnsi="Arial" w:cs="Arial"/>
                <w:lang w:val="es-ES"/>
              </w:rPr>
              <w:t>7.826.668</w:t>
            </w:r>
          </w:p>
        </w:tc>
        <w:tc>
          <w:tcPr>
            <w:tcW w:w="1869" w:type="dxa"/>
          </w:tcPr>
          <w:p w:rsidR="00021A3D" w:rsidRPr="0089509F" w:rsidRDefault="0089509F" w:rsidP="00021A3D">
            <w:pPr>
              <w:jc w:val="both"/>
              <w:rPr>
                <w:rFonts w:ascii="Arial" w:hAnsi="Arial" w:cs="Arial"/>
                <w:lang w:val="es-ES"/>
              </w:rPr>
            </w:pPr>
            <w:r>
              <w:rPr>
                <w:rFonts w:ascii="Arial" w:hAnsi="Arial" w:cs="Arial"/>
                <w:lang w:val="es-ES"/>
              </w:rPr>
              <w:t>Prestan servicios de estrategia, medios y contenidos, relaciones externas, marketing digital y social media, eventos y sponsoring</w:t>
            </w:r>
          </w:p>
        </w:tc>
        <w:tc>
          <w:tcPr>
            <w:tcW w:w="1869" w:type="dxa"/>
          </w:tcPr>
          <w:p w:rsidR="00021A3D" w:rsidRDefault="00E30571" w:rsidP="00021A3D">
            <w:pPr>
              <w:jc w:val="both"/>
              <w:rPr>
                <w:rFonts w:ascii="Arial" w:hAnsi="Arial" w:cs="Arial"/>
                <w:lang w:val="es-ES"/>
              </w:rPr>
            </w:pPr>
            <w:r>
              <w:rPr>
                <w:rFonts w:ascii="Arial" w:hAnsi="Arial" w:cs="Arial"/>
                <w:lang w:val="es-ES"/>
              </w:rPr>
              <w:t>Oficinas en Madrid y Barcelona</w:t>
            </w:r>
          </w:p>
        </w:tc>
        <w:tc>
          <w:tcPr>
            <w:tcW w:w="1870" w:type="dxa"/>
          </w:tcPr>
          <w:p w:rsidR="00021A3D" w:rsidRDefault="00E30571" w:rsidP="00021A3D">
            <w:pPr>
              <w:jc w:val="both"/>
              <w:rPr>
                <w:rFonts w:ascii="Arial" w:hAnsi="Arial" w:cs="Arial"/>
                <w:lang w:val="es-ES"/>
              </w:rPr>
            </w:pPr>
            <w:r>
              <w:rPr>
                <w:rFonts w:ascii="Arial" w:hAnsi="Arial" w:cs="Arial"/>
                <w:lang w:val="es-ES"/>
              </w:rPr>
              <w:t>U</w:t>
            </w:r>
            <w:r w:rsidRPr="00E30571">
              <w:rPr>
                <w:rFonts w:ascii="Arial" w:hAnsi="Arial" w:cs="Arial"/>
                <w:lang w:val="es-ES"/>
              </w:rPr>
              <w:t>na de las primeras agencias de comunicación en España</w:t>
            </w:r>
            <w:r>
              <w:rPr>
                <w:rFonts w:ascii="Arial" w:hAnsi="Arial" w:cs="Arial"/>
                <w:lang w:val="es-ES"/>
              </w:rPr>
              <w:t xml:space="preserve">. </w:t>
            </w:r>
            <w:r w:rsidRPr="00E30571">
              <w:rPr>
                <w:rFonts w:ascii="Arial" w:hAnsi="Arial" w:cs="Arial"/>
                <w:lang w:val="es-ES"/>
              </w:rPr>
              <w:t>90 personas entre Madrid y Barcelona</w:t>
            </w:r>
          </w:p>
        </w:tc>
      </w:tr>
      <w:tr w:rsidR="00CA6970" w:rsidTr="00021A3D">
        <w:tc>
          <w:tcPr>
            <w:tcW w:w="1869" w:type="dxa"/>
          </w:tcPr>
          <w:p w:rsidR="00021A3D" w:rsidRDefault="00021A3D" w:rsidP="00021A3D">
            <w:pPr>
              <w:jc w:val="both"/>
              <w:rPr>
                <w:rFonts w:ascii="Arial" w:hAnsi="Arial" w:cs="Arial"/>
                <w:lang w:val="es-ES"/>
              </w:rPr>
            </w:pPr>
            <w:r>
              <w:rPr>
                <w:rFonts w:ascii="Arial" w:hAnsi="Arial" w:cs="Arial"/>
                <w:lang w:val="es-ES"/>
              </w:rPr>
              <w:t>Estudio de Comunicación</w:t>
            </w:r>
          </w:p>
        </w:tc>
        <w:tc>
          <w:tcPr>
            <w:tcW w:w="1869" w:type="dxa"/>
          </w:tcPr>
          <w:p w:rsidR="00021A3D" w:rsidRDefault="00021A3D" w:rsidP="001F50E8">
            <w:pPr>
              <w:jc w:val="center"/>
              <w:rPr>
                <w:rFonts w:ascii="Arial" w:hAnsi="Arial" w:cs="Arial"/>
                <w:lang w:val="es-ES"/>
              </w:rPr>
            </w:pPr>
            <w:r>
              <w:rPr>
                <w:rFonts w:ascii="Arial" w:hAnsi="Arial" w:cs="Arial"/>
                <w:lang w:val="es-ES"/>
              </w:rPr>
              <w:t>7.645.164</w:t>
            </w:r>
          </w:p>
        </w:tc>
        <w:tc>
          <w:tcPr>
            <w:tcW w:w="1869" w:type="dxa"/>
          </w:tcPr>
          <w:p w:rsidR="00021A3D" w:rsidRDefault="00A57F5E" w:rsidP="00021A3D">
            <w:pPr>
              <w:jc w:val="both"/>
              <w:rPr>
                <w:rFonts w:ascii="Arial" w:hAnsi="Arial" w:cs="Arial"/>
                <w:lang w:val="es-ES"/>
              </w:rPr>
            </w:pPr>
            <w:r>
              <w:rPr>
                <w:rFonts w:ascii="Arial" w:hAnsi="Arial" w:cs="Arial"/>
                <w:lang w:val="es-ES"/>
              </w:rPr>
              <w:t xml:space="preserve">Comunicación de crisis, financiera, relaciones institucionales, interna, de salud, eventos, relaciones públicas, RSC, cultura, consumo y </w:t>
            </w:r>
            <w:r>
              <w:rPr>
                <w:rFonts w:ascii="Arial" w:hAnsi="Arial" w:cs="Arial"/>
                <w:lang w:val="es-ES"/>
              </w:rPr>
              <w:lastRenderedPageBreak/>
              <w:t xml:space="preserve">producto y diseño y publicidad. </w:t>
            </w:r>
          </w:p>
        </w:tc>
        <w:tc>
          <w:tcPr>
            <w:tcW w:w="1869" w:type="dxa"/>
          </w:tcPr>
          <w:p w:rsidR="00021A3D" w:rsidRDefault="00A57F5E" w:rsidP="00021A3D">
            <w:pPr>
              <w:jc w:val="both"/>
              <w:rPr>
                <w:rFonts w:ascii="Arial" w:hAnsi="Arial" w:cs="Arial"/>
                <w:lang w:val="es-ES"/>
              </w:rPr>
            </w:pPr>
            <w:r w:rsidRPr="00A57F5E">
              <w:rPr>
                <w:rFonts w:ascii="Arial" w:hAnsi="Arial" w:cs="Arial"/>
                <w:lang w:val="es-ES"/>
              </w:rPr>
              <w:lastRenderedPageBreak/>
              <w:t>España, Argentina, Portugal, Chile y México</w:t>
            </w:r>
            <w:r>
              <w:rPr>
                <w:rFonts w:ascii="Arial" w:hAnsi="Arial" w:cs="Arial"/>
                <w:lang w:val="es-ES"/>
              </w:rPr>
              <w:t xml:space="preserve">. 62 empleados en todo el mundo. </w:t>
            </w:r>
          </w:p>
        </w:tc>
        <w:tc>
          <w:tcPr>
            <w:tcW w:w="1870" w:type="dxa"/>
          </w:tcPr>
          <w:p w:rsidR="00021A3D" w:rsidRDefault="00A57F5E" w:rsidP="00021A3D">
            <w:pPr>
              <w:jc w:val="both"/>
              <w:rPr>
                <w:rFonts w:ascii="Arial" w:hAnsi="Arial" w:cs="Arial"/>
                <w:lang w:val="es-ES"/>
              </w:rPr>
            </w:pPr>
            <w:r w:rsidRPr="00A57F5E">
              <w:rPr>
                <w:rFonts w:ascii="Arial" w:hAnsi="Arial" w:cs="Arial"/>
                <w:lang w:val="es-ES"/>
              </w:rPr>
              <w:t>Estudio de Comunicación disparó el año pasado sus ingresos un 33% y supera por primera vez desde 2008 los 10 millones de euros de facturación</w:t>
            </w:r>
          </w:p>
        </w:tc>
      </w:tr>
      <w:tr w:rsidR="00CA6970" w:rsidTr="00021A3D">
        <w:tc>
          <w:tcPr>
            <w:tcW w:w="1869" w:type="dxa"/>
          </w:tcPr>
          <w:p w:rsidR="00021A3D" w:rsidRDefault="00021A3D" w:rsidP="00021A3D">
            <w:pPr>
              <w:jc w:val="both"/>
              <w:rPr>
                <w:rFonts w:ascii="Arial" w:hAnsi="Arial" w:cs="Arial"/>
                <w:lang w:val="es-ES"/>
              </w:rPr>
            </w:pPr>
            <w:r>
              <w:rPr>
                <w:rFonts w:ascii="Arial" w:hAnsi="Arial" w:cs="Arial"/>
                <w:lang w:val="es-ES"/>
              </w:rPr>
              <w:lastRenderedPageBreak/>
              <w:t>Apple Tree</w:t>
            </w:r>
          </w:p>
        </w:tc>
        <w:tc>
          <w:tcPr>
            <w:tcW w:w="1869" w:type="dxa"/>
          </w:tcPr>
          <w:p w:rsidR="00021A3D" w:rsidRDefault="00021A3D" w:rsidP="001F50E8">
            <w:pPr>
              <w:jc w:val="center"/>
              <w:rPr>
                <w:rFonts w:ascii="Arial" w:hAnsi="Arial" w:cs="Arial"/>
                <w:lang w:val="es-ES"/>
              </w:rPr>
            </w:pPr>
            <w:r>
              <w:rPr>
                <w:rFonts w:ascii="Arial" w:hAnsi="Arial" w:cs="Arial"/>
                <w:lang w:val="es-ES"/>
              </w:rPr>
              <w:t>7.502.594</w:t>
            </w:r>
          </w:p>
        </w:tc>
        <w:tc>
          <w:tcPr>
            <w:tcW w:w="1869" w:type="dxa"/>
          </w:tcPr>
          <w:p w:rsidR="00021A3D" w:rsidRDefault="00CA6970" w:rsidP="00021A3D">
            <w:pPr>
              <w:jc w:val="both"/>
              <w:rPr>
                <w:rFonts w:ascii="Arial" w:hAnsi="Arial" w:cs="Arial"/>
                <w:lang w:val="es-ES"/>
              </w:rPr>
            </w:pPr>
            <w:r>
              <w:rPr>
                <w:rFonts w:ascii="Arial" w:hAnsi="Arial" w:cs="Arial"/>
                <w:lang w:val="es-ES"/>
              </w:rPr>
              <w:t>Branding, salud, RSC, consumo, producto, digital</w:t>
            </w:r>
          </w:p>
        </w:tc>
        <w:tc>
          <w:tcPr>
            <w:tcW w:w="1869" w:type="dxa"/>
          </w:tcPr>
          <w:p w:rsidR="00021A3D" w:rsidRDefault="00CA6970" w:rsidP="00021A3D">
            <w:pPr>
              <w:jc w:val="both"/>
              <w:rPr>
                <w:rFonts w:ascii="Arial" w:hAnsi="Arial" w:cs="Arial"/>
                <w:lang w:val="es-ES"/>
              </w:rPr>
            </w:pPr>
            <w:r>
              <w:rPr>
                <w:rFonts w:ascii="Arial" w:hAnsi="Arial" w:cs="Arial"/>
                <w:lang w:val="es-ES"/>
              </w:rPr>
              <w:t>Barcelona, Bogotá, Londres, Madrid y México</w:t>
            </w:r>
          </w:p>
        </w:tc>
        <w:tc>
          <w:tcPr>
            <w:tcW w:w="1870" w:type="dxa"/>
          </w:tcPr>
          <w:p w:rsidR="00021A3D" w:rsidRDefault="00CA6970" w:rsidP="00CA6970">
            <w:pPr>
              <w:jc w:val="both"/>
              <w:rPr>
                <w:lang w:val="es-ES"/>
              </w:rPr>
            </w:pPr>
            <w:r w:rsidRPr="00CA6970">
              <w:rPr>
                <w:rFonts w:ascii="Arial" w:hAnsi="Arial" w:cs="Arial"/>
                <w:lang w:val="es-ES"/>
              </w:rPr>
              <w:t>Ha creado recientemente Orchard Communications, una agencia especializada en  marketing, publicidad, compra de medios y dirección de arte.</w:t>
            </w:r>
            <w:r>
              <w:rPr>
                <w:lang w:val="es-ES"/>
              </w:rPr>
              <w:t xml:space="preserve"> </w:t>
            </w:r>
            <w:r w:rsidRPr="00CA6970">
              <w:rPr>
                <w:lang w:val="es-ES"/>
              </w:rPr>
              <w:t xml:space="preserve"> </w:t>
            </w:r>
          </w:p>
        </w:tc>
      </w:tr>
      <w:tr w:rsidR="00CA6970" w:rsidTr="00021A3D">
        <w:tc>
          <w:tcPr>
            <w:tcW w:w="1869" w:type="dxa"/>
          </w:tcPr>
          <w:p w:rsidR="00021A3D" w:rsidRDefault="00021A3D" w:rsidP="00021A3D">
            <w:pPr>
              <w:jc w:val="both"/>
              <w:rPr>
                <w:rFonts w:ascii="Arial" w:hAnsi="Arial" w:cs="Arial"/>
                <w:lang w:val="es-ES"/>
              </w:rPr>
            </w:pPr>
            <w:r>
              <w:rPr>
                <w:rFonts w:ascii="Arial" w:hAnsi="Arial" w:cs="Arial"/>
                <w:lang w:val="es-ES"/>
              </w:rPr>
              <w:t>Tinkle Consultants</w:t>
            </w:r>
          </w:p>
        </w:tc>
        <w:tc>
          <w:tcPr>
            <w:tcW w:w="1869" w:type="dxa"/>
          </w:tcPr>
          <w:p w:rsidR="00021A3D" w:rsidRDefault="00021A3D" w:rsidP="001F50E8">
            <w:pPr>
              <w:jc w:val="center"/>
              <w:rPr>
                <w:rFonts w:ascii="Arial" w:hAnsi="Arial" w:cs="Arial"/>
                <w:lang w:val="es-ES"/>
              </w:rPr>
            </w:pPr>
            <w:r>
              <w:rPr>
                <w:rFonts w:ascii="Arial" w:hAnsi="Arial" w:cs="Arial"/>
                <w:lang w:val="es-ES"/>
              </w:rPr>
              <w:t>7.289.726</w:t>
            </w:r>
          </w:p>
        </w:tc>
        <w:tc>
          <w:tcPr>
            <w:tcW w:w="1869" w:type="dxa"/>
          </w:tcPr>
          <w:p w:rsidR="00021A3D" w:rsidRDefault="00CA6970" w:rsidP="00021A3D">
            <w:pPr>
              <w:jc w:val="both"/>
              <w:rPr>
                <w:rFonts w:ascii="Arial" w:hAnsi="Arial" w:cs="Arial"/>
                <w:lang w:val="es-ES"/>
              </w:rPr>
            </w:pPr>
            <w:r>
              <w:rPr>
                <w:rFonts w:ascii="Arial" w:hAnsi="Arial" w:cs="Arial"/>
                <w:lang w:val="es-ES"/>
              </w:rPr>
              <w:t xml:space="preserve">Marketing, corporativo y </w:t>
            </w:r>
          </w:p>
        </w:tc>
        <w:tc>
          <w:tcPr>
            <w:tcW w:w="1869" w:type="dxa"/>
          </w:tcPr>
          <w:p w:rsidR="00021A3D" w:rsidRDefault="00CA6970" w:rsidP="00021A3D">
            <w:pPr>
              <w:jc w:val="both"/>
              <w:rPr>
                <w:rFonts w:ascii="Arial" w:hAnsi="Arial" w:cs="Arial"/>
                <w:lang w:val="es-ES"/>
              </w:rPr>
            </w:pPr>
            <w:r>
              <w:rPr>
                <w:rFonts w:ascii="Arial" w:hAnsi="Arial" w:cs="Arial"/>
                <w:lang w:val="es-ES"/>
              </w:rPr>
              <w:t>Madrid, Barcelona, Valencia, Lisboa, Miami y Singapur</w:t>
            </w:r>
          </w:p>
        </w:tc>
        <w:tc>
          <w:tcPr>
            <w:tcW w:w="1870" w:type="dxa"/>
          </w:tcPr>
          <w:p w:rsidR="00021A3D" w:rsidRDefault="00CA6970" w:rsidP="00021A3D">
            <w:pPr>
              <w:jc w:val="both"/>
              <w:rPr>
                <w:rFonts w:ascii="Arial" w:hAnsi="Arial" w:cs="Arial"/>
                <w:lang w:val="es-ES"/>
              </w:rPr>
            </w:pPr>
            <w:r>
              <w:rPr>
                <w:rFonts w:ascii="Arial" w:hAnsi="Arial" w:cs="Arial"/>
                <w:lang w:val="es-ES"/>
              </w:rPr>
              <w:t xml:space="preserve">Han </w:t>
            </w:r>
            <w:r w:rsidR="00E7021D">
              <w:rPr>
                <w:rFonts w:ascii="Arial" w:hAnsi="Arial" w:cs="Arial"/>
                <w:lang w:val="es-ES"/>
              </w:rPr>
              <w:t>desarrollado</w:t>
            </w:r>
            <w:r>
              <w:rPr>
                <w:rFonts w:ascii="Arial" w:hAnsi="Arial" w:cs="Arial"/>
                <w:lang w:val="es-ES"/>
              </w:rPr>
              <w:t xml:space="preserve"> Venture Comms, una empresa de que proporciona capital financiero y networking aportando la experiencia en comunicación como clave del </w:t>
            </w:r>
            <w:r w:rsidR="00E7021D">
              <w:rPr>
                <w:rFonts w:ascii="Arial" w:hAnsi="Arial" w:cs="Arial"/>
                <w:lang w:val="es-ES"/>
              </w:rPr>
              <w:t>éxito</w:t>
            </w:r>
          </w:p>
        </w:tc>
      </w:tr>
    </w:tbl>
    <w:p w:rsidR="00021A3D" w:rsidRPr="001F50E8" w:rsidRDefault="005B76D7" w:rsidP="00021A3D">
      <w:pPr>
        <w:jc w:val="both"/>
        <w:rPr>
          <w:rFonts w:ascii="Arial" w:hAnsi="Arial" w:cs="Arial"/>
          <w:i/>
          <w:sz w:val="20"/>
          <w:lang w:val="es-ES"/>
        </w:rPr>
      </w:pPr>
      <w:r w:rsidRPr="001F50E8">
        <w:rPr>
          <w:rFonts w:ascii="Arial" w:hAnsi="Arial" w:cs="Arial"/>
          <w:i/>
          <w:sz w:val="20"/>
          <w:lang w:val="es-ES"/>
        </w:rPr>
        <w:t xml:space="preserve">* Fuente: </w:t>
      </w:r>
      <w:r w:rsidR="001F50E8">
        <w:rPr>
          <w:rFonts w:ascii="Arial" w:hAnsi="Arial" w:cs="Arial"/>
          <w:i/>
          <w:sz w:val="20"/>
          <w:lang w:val="es-ES"/>
        </w:rPr>
        <w:t>V</w:t>
      </w:r>
      <w:r w:rsidRPr="001F50E8">
        <w:rPr>
          <w:rFonts w:ascii="Arial" w:hAnsi="Arial" w:cs="Arial"/>
          <w:i/>
          <w:sz w:val="20"/>
          <w:lang w:val="es-ES"/>
        </w:rPr>
        <w:t>II Informe PR 2018 elaborado por PR Noticias y Torres y Carrera</w:t>
      </w:r>
    </w:p>
    <w:p w:rsidR="00CC5D16" w:rsidRDefault="00023444" w:rsidP="00CC5D16">
      <w:pPr>
        <w:rPr>
          <w:rFonts w:ascii="Arial" w:hAnsi="Arial" w:cs="Arial"/>
          <w:lang w:val="es-ES"/>
        </w:rPr>
      </w:pPr>
      <w:r>
        <w:rPr>
          <w:rFonts w:ascii="Arial" w:hAnsi="Arial" w:cs="Arial"/>
          <w:lang w:val="es-ES"/>
        </w:rPr>
        <w:t>Teniendo en cuenta el breve análisis que se ha llevado a cabo, LLYC cuenta con:</w:t>
      </w:r>
    </w:p>
    <w:p w:rsidR="00023444" w:rsidRPr="00023444" w:rsidRDefault="00023444" w:rsidP="00CC5D16">
      <w:pPr>
        <w:rPr>
          <w:rFonts w:ascii="Arial" w:hAnsi="Arial" w:cs="Arial"/>
          <w:b/>
          <w:lang w:val="es-ES"/>
        </w:rPr>
      </w:pPr>
      <w:r w:rsidRPr="00023444">
        <w:rPr>
          <w:rFonts w:ascii="Arial" w:hAnsi="Arial" w:cs="Arial"/>
          <w:b/>
          <w:lang w:val="es-ES"/>
        </w:rPr>
        <w:t>Amenazas:</w:t>
      </w:r>
    </w:p>
    <w:p w:rsidR="00023444" w:rsidRDefault="00023444" w:rsidP="00023444">
      <w:pPr>
        <w:pStyle w:val="Prrafodelista"/>
        <w:numPr>
          <w:ilvl w:val="0"/>
          <w:numId w:val="13"/>
        </w:numPr>
        <w:ind w:left="0" w:hanging="11"/>
        <w:rPr>
          <w:rFonts w:ascii="Arial" w:hAnsi="Arial" w:cs="Arial"/>
          <w:lang w:val="es-ES"/>
        </w:rPr>
      </w:pPr>
      <w:r>
        <w:rPr>
          <w:rFonts w:ascii="Arial" w:hAnsi="Arial" w:cs="Arial"/>
          <w:lang w:val="es-ES"/>
        </w:rPr>
        <w:t xml:space="preserve">El resto de empresas del sector están muy bien posicionadas en el sector académico y tecnológico, con equipos </w:t>
      </w:r>
      <w:r w:rsidRPr="00023444">
        <w:rPr>
          <w:rFonts w:ascii="Arial" w:hAnsi="Arial" w:cs="Arial"/>
          <w:i/>
          <w:lang w:val="es-ES"/>
        </w:rPr>
        <w:t>in house</w:t>
      </w:r>
      <w:r>
        <w:rPr>
          <w:rFonts w:ascii="Arial" w:hAnsi="Arial" w:cs="Arial"/>
          <w:lang w:val="es-ES"/>
        </w:rPr>
        <w:t xml:space="preserve"> que desarrollan estudios de mercado y desarrollos tecnológicos.</w:t>
      </w:r>
    </w:p>
    <w:p w:rsidR="00023444" w:rsidRPr="00023444" w:rsidRDefault="00023444" w:rsidP="00023444">
      <w:pPr>
        <w:pStyle w:val="Prrafodelista"/>
        <w:ind w:left="0"/>
        <w:rPr>
          <w:rFonts w:ascii="Arial" w:hAnsi="Arial" w:cs="Arial"/>
          <w:lang w:val="es-ES"/>
        </w:rPr>
      </w:pPr>
    </w:p>
    <w:p w:rsidR="00023444" w:rsidRPr="00023444" w:rsidRDefault="00023444" w:rsidP="00023444">
      <w:pPr>
        <w:pStyle w:val="Prrafodelista"/>
        <w:numPr>
          <w:ilvl w:val="0"/>
          <w:numId w:val="13"/>
        </w:numPr>
        <w:ind w:left="0" w:hanging="11"/>
        <w:rPr>
          <w:rFonts w:ascii="Arial" w:hAnsi="Arial" w:cs="Arial"/>
          <w:lang w:val="es-ES"/>
        </w:rPr>
      </w:pPr>
    </w:p>
    <w:p w:rsidR="00023444" w:rsidRPr="00023444" w:rsidRDefault="00023444" w:rsidP="00CC5D16">
      <w:pPr>
        <w:rPr>
          <w:rFonts w:ascii="Arial" w:hAnsi="Arial" w:cs="Arial"/>
          <w:b/>
          <w:lang w:val="es-ES"/>
        </w:rPr>
      </w:pPr>
      <w:r w:rsidRPr="00023444">
        <w:rPr>
          <w:rFonts w:ascii="Arial" w:hAnsi="Arial" w:cs="Arial"/>
          <w:b/>
          <w:lang w:val="es-ES"/>
        </w:rPr>
        <w:t>Oportunidades:</w:t>
      </w:r>
    </w:p>
    <w:p w:rsidR="00023444" w:rsidRDefault="00023444" w:rsidP="00CC5D16">
      <w:pPr>
        <w:rPr>
          <w:rFonts w:ascii="Arial" w:hAnsi="Arial" w:cs="Arial"/>
          <w:lang w:val="es-ES"/>
        </w:rPr>
      </w:pPr>
      <w:r>
        <w:rPr>
          <w:rFonts w:ascii="Arial" w:hAnsi="Arial" w:cs="Arial"/>
          <w:lang w:val="es-ES"/>
        </w:rPr>
        <w:t xml:space="preserve">- Consolidación en </w:t>
      </w:r>
      <w:r w:rsidR="00E7021D">
        <w:rPr>
          <w:rFonts w:ascii="Arial" w:hAnsi="Arial" w:cs="Arial"/>
          <w:lang w:val="es-ES"/>
        </w:rPr>
        <w:t>América</w:t>
      </w:r>
      <w:r>
        <w:rPr>
          <w:rFonts w:ascii="Arial" w:hAnsi="Arial" w:cs="Arial"/>
          <w:lang w:val="es-ES"/>
        </w:rPr>
        <w:t xml:space="preserve"> Latina a través de oficinas propias en los países en los que todavía no dispone.</w:t>
      </w:r>
    </w:p>
    <w:p w:rsidR="00023444" w:rsidRDefault="00023444" w:rsidP="00CC5D16">
      <w:pPr>
        <w:rPr>
          <w:rFonts w:ascii="Arial" w:hAnsi="Arial" w:cs="Arial"/>
          <w:lang w:val="es-ES"/>
        </w:rPr>
      </w:pPr>
      <w:r>
        <w:rPr>
          <w:rFonts w:ascii="Arial" w:hAnsi="Arial" w:cs="Arial"/>
          <w:lang w:val="es-ES"/>
        </w:rPr>
        <w:t>- Analizar qué mercados europeos y norteamericanos hacen más negocio con empresas de habla hispana y buscar colaboradores locales para establecerse allí.</w:t>
      </w:r>
    </w:p>
    <w:p w:rsidR="00023444" w:rsidRDefault="00023444" w:rsidP="00CC5D16">
      <w:pPr>
        <w:rPr>
          <w:rFonts w:ascii="Arial" w:hAnsi="Arial" w:cs="Arial"/>
          <w:lang w:val="es-ES"/>
        </w:rPr>
      </w:pPr>
      <w:r>
        <w:rPr>
          <w:rFonts w:ascii="Arial" w:hAnsi="Arial" w:cs="Arial"/>
          <w:lang w:val="es-ES"/>
        </w:rPr>
        <w:t>- Seguir creciendo en la adquisición de compañías que completen su porfolio de soluciones y atraer el mejor talento del mercado.</w:t>
      </w:r>
    </w:p>
    <w:p w:rsidR="00023444" w:rsidRDefault="00023444" w:rsidP="00CC5D16">
      <w:pPr>
        <w:rPr>
          <w:rFonts w:ascii="Arial" w:hAnsi="Arial" w:cs="Arial"/>
          <w:lang w:val="es-ES"/>
        </w:rPr>
      </w:pPr>
      <w:r>
        <w:rPr>
          <w:rFonts w:ascii="Arial" w:hAnsi="Arial" w:cs="Arial"/>
          <w:lang w:val="es-ES"/>
        </w:rPr>
        <w:lastRenderedPageBreak/>
        <w:t>- Explotar de manera más decidida la existencia de la Fundación, no hay ninguna compañía entre la competencia que lo tenga.</w:t>
      </w:r>
    </w:p>
    <w:p w:rsidR="00023444" w:rsidRDefault="00023444" w:rsidP="00CC5D16">
      <w:pPr>
        <w:rPr>
          <w:rFonts w:ascii="Arial" w:hAnsi="Arial" w:cs="Arial"/>
          <w:lang w:val="es-ES"/>
        </w:rPr>
      </w:pPr>
      <w:r>
        <w:rPr>
          <w:rFonts w:ascii="Arial" w:hAnsi="Arial" w:cs="Arial"/>
          <w:lang w:val="es-ES"/>
        </w:rPr>
        <w:t xml:space="preserve">- Encontrar un partner de valor para entrar en el sector de las start-ups teniendo en cuenta el foco en Barcelona como hub internacional. </w:t>
      </w:r>
    </w:p>
    <w:p w:rsidR="004E3400" w:rsidRDefault="004E3400" w:rsidP="00CC5D16">
      <w:pPr>
        <w:rPr>
          <w:rFonts w:ascii="Arial" w:hAnsi="Arial" w:cs="Arial"/>
          <w:b/>
          <w:lang w:val="es-ES"/>
        </w:rPr>
      </w:pPr>
      <w:r w:rsidRPr="004E3400">
        <w:rPr>
          <w:rFonts w:ascii="Arial" w:hAnsi="Arial" w:cs="Arial"/>
          <w:b/>
          <w:lang w:val="es-ES"/>
        </w:rPr>
        <w:t>3. Conclusiones</w:t>
      </w:r>
    </w:p>
    <w:p w:rsidR="004E3400" w:rsidRDefault="004E3400" w:rsidP="004E3400">
      <w:pPr>
        <w:jc w:val="both"/>
        <w:rPr>
          <w:rFonts w:ascii="Arial" w:hAnsi="Arial" w:cs="Arial"/>
          <w:lang w:val="es-ES"/>
        </w:rPr>
      </w:pPr>
      <w:r>
        <w:rPr>
          <w:rFonts w:ascii="Arial" w:hAnsi="Arial" w:cs="Arial"/>
          <w:lang w:val="es-ES"/>
        </w:rPr>
        <w:t xml:space="preserve">LLYC se sitúa en la posición de liderazgo en casi todos los ámbitos. Destaca sobre todo por sus resultados financieros, por la variedad de especialidades que ofrece al mercado y por su equipo senior que aporta soluciones de valor a sus clientes. El reto está en mantener esta posición teniendo en cuenta que forma parte de un sector (el de la consultoría y el de la comunicación) que necesita profesionales comprometidos, que se avancen a las necesidades de sus clientes y que adapten las tendencias a la realidad que viven las empresas con las que colaboran. </w:t>
      </w:r>
    </w:p>
    <w:p w:rsidR="004E3400" w:rsidRPr="004E3400" w:rsidRDefault="004E3400" w:rsidP="00CC5D16">
      <w:pPr>
        <w:rPr>
          <w:rFonts w:ascii="Arial" w:hAnsi="Arial" w:cs="Arial"/>
          <w:lang w:val="es-ES"/>
        </w:rPr>
      </w:pPr>
    </w:p>
    <w:p w:rsidR="009B619A" w:rsidRPr="004E3400" w:rsidRDefault="004E3400" w:rsidP="00CC5D16">
      <w:pPr>
        <w:rPr>
          <w:rFonts w:ascii="Arial" w:hAnsi="Arial" w:cs="Arial"/>
          <w:b/>
          <w:lang w:val="es-ES"/>
        </w:rPr>
      </w:pPr>
      <w:r>
        <w:rPr>
          <w:rFonts w:ascii="Arial" w:hAnsi="Arial" w:cs="Arial"/>
          <w:b/>
          <w:lang w:val="es-ES"/>
        </w:rPr>
        <w:t>4</w:t>
      </w:r>
      <w:r w:rsidR="009B619A" w:rsidRPr="004E3400">
        <w:rPr>
          <w:rFonts w:ascii="Arial" w:hAnsi="Arial" w:cs="Arial"/>
          <w:b/>
          <w:lang w:val="es-ES"/>
        </w:rPr>
        <w:t>. Bibliografía</w:t>
      </w:r>
    </w:p>
    <w:p w:rsidR="00542D8C" w:rsidRPr="00570D6A" w:rsidRDefault="00542D8C" w:rsidP="00CC5D16">
      <w:pPr>
        <w:rPr>
          <w:rFonts w:ascii="Arial" w:hAnsi="Arial" w:cs="Arial"/>
        </w:rPr>
      </w:pPr>
      <w:hyperlink r:id="rId8" w:history="1">
        <w:r w:rsidRPr="00570D6A">
          <w:rPr>
            <w:rStyle w:val="Hipervnculo"/>
            <w:rFonts w:ascii="Arial" w:hAnsi="Arial" w:cs="Arial"/>
          </w:rPr>
          <w:t>http://www.revistalatinacs.org/073paper/1266/RLCS-paper1266.pdf</w:t>
        </w:r>
      </w:hyperlink>
    </w:p>
    <w:p w:rsidR="004E3400" w:rsidRPr="00570D6A" w:rsidRDefault="004E3400" w:rsidP="00CC5D16">
      <w:pPr>
        <w:rPr>
          <w:rFonts w:ascii="Arial" w:hAnsi="Arial" w:cs="Arial"/>
        </w:rPr>
      </w:pPr>
      <w:hyperlink r:id="rId9" w:history="1">
        <w:r w:rsidRPr="00570D6A">
          <w:rPr>
            <w:rStyle w:val="Hipervnculo"/>
            <w:rFonts w:ascii="Arial" w:hAnsi="Arial" w:cs="Arial"/>
          </w:rPr>
          <w:t>https://prnoticias.com/comunicacion/facturacion-del-sector-rrpp/20167834-ranking-agencias-comunicacion-mas-facturan</w:t>
        </w:r>
      </w:hyperlink>
    </w:p>
    <w:p w:rsidR="00A54D12" w:rsidRPr="00570D6A" w:rsidRDefault="00A54D12" w:rsidP="00CC5D16">
      <w:pPr>
        <w:rPr>
          <w:rFonts w:ascii="Arial" w:hAnsi="Arial" w:cs="Arial"/>
        </w:rPr>
      </w:pPr>
      <w:hyperlink r:id="rId10" w:history="1">
        <w:r w:rsidRPr="00570D6A">
          <w:rPr>
            <w:rStyle w:val="Hipervnculo"/>
            <w:rFonts w:ascii="Arial" w:hAnsi="Arial" w:cs="Arial"/>
          </w:rPr>
          <w:t>http://www.revistaelobservador.com/images/stories/envios_18/marzo/pr.pdf</w:t>
        </w:r>
      </w:hyperlink>
      <w:r w:rsidRPr="00570D6A">
        <w:rPr>
          <w:rFonts w:ascii="Arial" w:hAnsi="Arial" w:cs="Arial"/>
        </w:rPr>
        <w:t xml:space="preserve"> </w:t>
      </w:r>
    </w:p>
    <w:p w:rsidR="004E3400" w:rsidRPr="00570D6A" w:rsidRDefault="004E3400" w:rsidP="00CC5D16">
      <w:pPr>
        <w:rPr>
          <w:rFonts w:ascii="Arial" w:hAnsi="Arial" w:cs="Arial"/>
        </w:rPr>
      </w:pPr>
      <w:hyperlink r:id="rId11" w:history="1">
        <w:r w:rsidRPr="00570D6A">
          <w:rPr>
            <w:rStyle w:val="Hipervnculo"/>
            <w:rFonts w:ascii="Arial" w:hAnsi="Arial" w:cs="Arial"/>
          </w:rPr>
          <w:t>https://dircomfidencial.com/comunicacion/apple-tree-entra-de-lleno-en-terreno-de-la-publicidad-y-crea-la-agencia-orchard-communications-20180227-0404/</w:t>
        </w:r>
      </w:hyperlink>
    </w:p>
    <w:p w:rsidR="00542D8C" w:rsidRPr="00CC5D16" w:rsidRDefault="00542D8C" w:rsidP="00CC5D16">
      <w:pPr>
        <w:rPr>
          <w:rFonts w:ascii="Arial" w:hAnsi="Arial" w:cs="Arial"/>
          <w:lang w:val="es-ES"/>
        </w:rPr>
      </w:pPr>
    </w:p>
    <w:sectPr w:rsidR="00542D8C" w:rsidRPr="00CC5D16" w:rsidSect="0007426A">
      <w:headerReference w:type="default" r:id="rId12"/>
      <w:footerReference w:type="default" r:id="rId13"/>
      <w:pgSz w:w="11906" w:h="16838"/>
      <w:pgMar w:top="2127" w:right="849" w:bottom="1134" w:left="1701" w:header="708" w:footer="3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745" w:rsidRDefault="00F83745" w:rsidP="00A77705">
      <w:pPr>
        <w:spacing w:after="0" w:line="240" w:lineRule="auto"/>
      </w:pPr>
      <w:r>
        <w:separator/>
      </w:r>
    </w:p>
  </w:endnote>
  <w:endnote w:type="continuationSeparator" w:id="0">
    <w:p w:rsidR="00F83745" w:rsidRDefault="00F83745" w:rsidP="00A7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5DC" w:rsidRDefault="00F475DC" w:rsidP="00DF568E">
    <w:pPr>
      <w:pStyle w:val="Encabezado"/>
      <w:ind w:left="7080"/>
    </w:pPr>
  </w:p>
  <w:p w:rsidR="00F475DC" w:rsidRDefault="00F475DC" w:rsidP="00AD3280">
    <w:pPr>
      <w:tabs>
        <w:tab w:val="left" w:pos="5526"/>
      </w:tabs>
    </w:pPr>
    <w:r>
      <w:rPr>
        <w:noProof/>
        <w:lang w:val="es-ES" w:eastAsia="es-ES"/>
      </w:rPr>
      <w:drawing>
        <wp:anchor distT="0" distB="0" distL="114300" distR="114300" simplePos="0" relativeHeight="251679232" behindDoc="1" locked="0" layoutInCell="1" allowOverlap="1">
          <wp:simplePos x="0" y="0"/>
          <wp:positionH relativeFrom="margin">
            <wp:posOffset>-402480</wp:posOffset>
          </wp:positionH>
          <wp:positionV relativeFrom="paragraph">
            <wp:posOffset>282934</wp:posOffset>
          </wp:positionV>
          <wp:extent cx="6849373" cy="437515"/>
          <wp:effectExtent l="0" t="0" r="8890" b="635"/>
          <wp:wrapNone/>
          <wp:docPr id="269" name="Imagen 269"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9373" cy="437515"/>
                  </a:xfrm>
                  <a:prstGeom prst="rect">
                    <a:avLst/>
                  </a:prstGeom>
                  <a:noFill/>
                  <a:ln>
                    <a:noFill/>
                  </a:ln>
                </pic:spPr>
              </pic:pic>
            </a:graphicData>
          </a:graphic>
        </wp:anchor>
      </w:drawing>
    </w:r>
    <w:r>
      <w:tab/>
    </w:r>
  </w:p>
  <w:p w:rsidR="00F475DC" w:rsidRDefault="00F475DC" w:rsidP="00DF568E">
    <w:pPr>
      <w:pStyle w:val="Piedepgina"/>
    </w:pPr>
  </w:p>
  <w:p w:rsidR="00F475DC" w:rsidRDefault="00CD7E0A" w:rsidP="00DF568E">
    <w:pPr>
      <w:pStyle w:val="Piedepgina"/>
    </w:pPr>
    <w:r>
      <w:fldChar w:fldCharType="begin"/>
    </w:r>
    <w:r>
      <w:instrText>PAGE   \* MERGEFORMAT</w:instrText>
    </w:r>
    <w:r>
      <w:fldChar w:fldCharType="separate"/>
    </w:r>
    <w:r w:rsidR="00AF6348">
      <w:rPr>
        <w:noProof/>
      </w:rPr>
      <w:t>2</w:t>
    </w:r>
    <w:r>
      <w:rPr>
        <w:noProof/>
      </w:rPr>
      <w:fldChar w:fldCharType="end"/>
    </w:r>
  </w:p>
  <w:p w:rsidR="00F475DC" w:rsidRDefault="00F475DC">
    <w:pPr>
      <w:pStyle w:val="Piedepgina"/>
    </w:pPr>
    <w:r>
      <w:rPr>
        <w:noProof/>
        <w:lang w:val="es-ES" w:eastAsia="es-ES"/>
      </w:rPr>
      <w:drawing>
        <wp:anchor distT="0" distB="0" distL="114300" distR="114300" simplePos="0" relativeHeight="251671040"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0" name="Imagen 270"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7968"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1" name="Imagen 271"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4896"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2" name="Imagen 272"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1824"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3" name="Imagen 27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58752"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4" name="Imagen 274"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745" w:rsidRDefault="00F83745" w:rsidP="00A77705">
      <w:pPr>
        <w:spacing w:after="0" w:line="240" w:lineRule="auto"/>
      </w:pPr>
      <w:r>
        <w:separator/>
      </w:r>
    </w:p>
  </w:footnote>
  <w:footnote w:type="continuationSeparator" w:id="0">
    <w:p w:rsidR="00F83745" w:rsidRDefault="00F83745" w:rsidP="00A777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C99" w:rsidRDefault="00895C91" w:rsidP="00895C91">
    <w:pPr>
      <w:pStyle w:val="Encabezado"/>
      <w:tabs>
        <w:tab w:val="clear" w:pos="4252"/>
        <w:tab w:val="clear" w:pos="8504"/>
        <w:tab w:val="left" w:pos="7075"/>
      </w:tabs>
    </w:pPr>
    <w:r w:rsidRPr="00895C91">
      <w:rPr>
        <w:noProof/>
        <w:lang w:val="es-ES" w:eastAsia="es-ES"/>
      </w:rPr>
      <w:drawing>
        <wp:anchor distT="0" distB="0" distL="114300" distR="114300" simplePos="0" relativeHeight="251657216" behindDoc="1" locked="0" layoutInCell="1" allowOverlap="1">
          <wp:simplePos x="0" y="0"/>
          <wp:positionH relativeFrom="column">
            <wp:posOffset>3833357</wp:posOffset>
          </wp:positionH>
          <wp:positionV relativeFrom="paragraph">
            <wp:posOffset>11126</wp:posOffset>
          </wp:positionV>
          <wp:extent cx="2107096" cy="216896"/>
          <wp:effectExtent l="0" t="0" r="0" b="0"/>
          <wp:wrapNone/>
          <wp:docPr id="1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sidR="00AF6348" w:rsidRPr="00AF6348">
      <w:t xml:space="preserve"> </w:t>
    </w:r>
    <w:r w:rsidR="00AF6348">
      <w:rPr>
        <w:noProof/>
        <w:lang w:val="es-ES" w:eastAsia="es-ES"/>
      </w:rPr>
      <w:drawing>
        <wp:inline distT="0" distB="0" distL="0" distR="0">
          <wp:extent cx="1045845" cy="364071"/>
          <wp:effectExtent l="0" t="0" r="1905" b="0"/>
          <wp:docPr id="1" name="Imagen 1" descr="Resultado de imagen de logo llyc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llyc png"/>
                  <pic:cNvPicPr>
                    <a:picLocks noChangeAspect="1" noChangeArrowheads="1"/>
                  </pic:cNvPicPr>
                </pic:nvPicPr>
                <pic:blipFill rotWithShape="1">
                  <a:blip r:embed="rId2">
                    <a:extLst>
                      <a:ext uri="{28A0092B-C50C-407E-A947-70E740481C1C}">
                        <a14:useLocalDpi xmlns:a14="http://schemas.microsoft.com/office/drawing/2010/main" val="0"/>
                      </a:ext>
                    </a:extLst>
                  </a:blip>
                  <a:srcRect l="21071" t="33642" r="20334" b="33028"/>
                  <a:stretch/>
                </pic:blipFill>
                <pic:spPr bwMode="auto">
                  <a:xfrm>
                    <a:off x="0" y="0"/>
                    <a:ext cx="1062321" cy="369806"/>
                  </a:xfrm>
                  <a:prstGeom prst="rect">
                    <a:avLst/>
                  </a:prstGeom>
                  <a:noFill/>
                  <a:ln>
                    <a:noFill/>
                  </a:ln>
                  <a:extLst>
                    <a:ext uri="{53640926-AAD7-44D8-BBD7-CCE9431645EC}">
                      <a14:shadowObscured xmlns:a14="http://schemas.microsoft.com/office/drawing/2010/main"/>
                    </a:ext>
                  </a:extLst>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B09AC"/>
    <w:multiLevelType w:val="hybridMultilevel"/>
    <w:tmpl w:val="6F626B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967AF"/>
    <w:multiLevelType w:val="hybridMultilevel"/>
    <w:tmpl w:val="E33641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6023E4"/>
    <w:multiLevelType w:val="hybridMultilevel"/>
    <w:tmpl w:val="4FDAD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6C131D"/>
    <w:multiLevelType w:val="hybridMultilevel"/>
    <w:tmpl w:val="F106186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33C25421"/>
    <w:multiLevelType w:val="hybridMultilevel"/>
    <w:tmpl w:val="64FA5C5C"/>
    <w:lvl w:ilvl="0" w:tplc="19EA7A2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EE42D2"/>
    <w:multiLevelType w:val="hybridMultilevel"/>
    <w:tmpl w:val="F600FE1A"/>
    <w:lvl w:ilvl="0" w:tplc="AFE227E6">
      <w:start w:val="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7EB38BD"/>
    <w:multiLevelType w:val="hybridMultilevel"/>
    <w:tmpl w:val="C0EA6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12F48B1"/>
    <w:multiLevelType w:val="hybridMultilevel"/>
    <w:tmpl w:val="3154DCC4"/>
    <w:lvl w:ilvl="0" w:tplc="036A557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53F190F"/>
    <w:multiLevelType w:val="hybridMultilevel"/>
    <w:tmpl w:val="374A8242"/>
    <w:lvl w:ilvl="0" w:tplc="040A0001">
      <w:start w:val="1"/>
      <w:numFmt w:val="bullet"/>
      <w:lvlText w:val=""/>
      <w:lvlJc w:val="left"/>
      <w:pPr>
        <w:ind w:left="780" w:hanging="360"/>
      </w:pPr>
      <w:rPr>
        <w:rFonts w:ascii="Symbol" w:hAnsi="Symbol" w:hint="default"/>
      </w:rPr>
    </w:lvl>
    <w:lvl w:ilvl="1" w:tplc="040A0003" w:tentative="1">
      <w:start w:val="1"/>
      <w:numFmt w:val="bullet"/>
      <w:lvlText w:val="o"/>
      <w:lvlJc w:val="left"/>
      <w:pPr>
        <w:ind w:left="1500" w:hanging="360"/>
      </w:pPr>
      <w:rPr>
        <w:rFonts w:ascii="Courier New" w:hAnsi="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10" w15:restartNumberingAfterBreak="0">
    <w:nsid w:val="70FA64C3"/>
    <w:multiLevelType w:val="hybridMultilevel"/>
    <w:tmpl w:val="C7F233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72917834"/>
    <w:multiLevelType w:val="hybridMultilevel"/>
    <w:tmpl w:val="7CB0D3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A8108B7"/>
    <w:multiLevelType w:val="hybridMultilevel"/>
    <w:tmpl w:val="B1E40D9E"/>
    <w:lvl w:ilvl="0" w:tplc="0C0A0001">
      <w:start w:val="1"/>
      <w:numFmt w:val="bullet"/>
      <w:lvlText w:val=""/>
      <w:lvlJc w:val="left"/>
      <w:pPr>
        <w:ind w:left="720" w:hanging="360"/>
      </w:pPr>
      <w:rPr>
        <w:rFonts w:ascii="Symbol" w:hAnsi="Symbol" w:hint="default"/>
      </w:rPr>
    </w:lvl>
    <w:lvl w:ilvl="1" w:tplc="A726F360">
      <w:numFmt w:val="bullet"/>
      <w:lvlText w:val="•"/>
      <w:lvlJc w:val="left"/>
      <w:pPr>
        <w:ind w:left="1785" w:hanging="705"/>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2"/>
  </w:num>
  <w:num w:numId="5">
    <w:abstractNumId w:val="8"/>
  </w:num>
  <w:num w:numId="6">
    <w:abstractNumId w:val="6"/>
  </w:num>
  <w:num w:numId="7">
    <w:abstractNumId w:val="11"/>
  </w:num>
  <w:num w:numId="8">
    <w:abstractNumId w:val="7"/>
  </w:num>
  <w:num w:numId="9">
    <w:abstractNumId w:val="9"/>
  </w:num>
  <w:num w:numId="10">
    <w:abstractNumId w:val="1"/>
  </w:num>
  <w:num w:numId="11">
    <w:abstractNumId w:val="0"/>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705"/>
    <w:rsid w:val="0002128B"/>
    <w:rsid w:val="00021A3D"/>
    <w:rsid w:val="00023444"/>
    <w:rsid w:val="00027EC3"/>
    <w:rsid w:val="00057A4D"/>
    <w:rsid w:val="00063096"/>
    <w:rsid w:val="00072577"/>
    <w:rsid w:val="0007426A"/>
    <w:rsid w:val="0012543B"/>
    <w:rsid w:val="00133906"/>
    <w:rsid w:val="001526E5"/>
    <w:rsid w:val="00161292"/>
    <w:rsid w:val="0017151D"/>
    <w:rsid w:val="00177E40"/>
    <w:rsid w:val="00186A70"/>
    <w:rsid w:val="001B63DB"/>
    <w:rsid w:val="001C1E4F"/>
    <w:rsid w:val="001C33D2"/>
    <w:rsid w:val="001D7F01"/>
    <w:rsid w:val="001F50E8"/>
    <w:rsid w:val="00212B24"/>
    <w:rsid w:val="00214EDC"/>
    <w:rsid w:val="00233B53"/>
    <w:rsid w:val="00244A81"/>
    <w:rsid w:val="00256E28"/>
    <w:rsid w:val="00293CF3"/>
    <w:rsid w:val="002A6A5D"/>
    <w:rsid w:val="002B4030"/>
    <w:rsid w:val="002D0F2D"/>
    <w:rsid w:val="003127F1"/>
    <w:rsid w:val="003342C1"/>
    <w:rsid w:val="00345B8A"/>
    <w:rsid w:val="003461DC"/>
    <w:rsid w:val="00394BAC"/>
    <w:rsid w:val="003A0F6A"/>
    <w:rsid w:val="003A54E0"/>
    <w:rsid w:val="003A702A"/>
    <w:rsid w:val="003B3A7E"/>
    <w:rsid w:val="003C549A"/>
    <w:rsid w:val="003C5A09"/>
    <w:rsid w:val="004040AC"/>
    <w:rsid w:val="00416EDF"/>
    <w:rsid w:val="00422A35"/>
    <w:rsid w:val="00443589"/>
    <w:rsid w:val="0046177E"/>
    <w:rsid w:val="00462B0D"/>
    <w:rsid w:val="00473567"/>
    <w:rsid w:val="004B60E4"/>
    <w:rsid w:val="004B686B"/>
    <w:rsid w:val="004E3400"/>
    <w:rsid w:val="004E4D5C"/>
    <w:rsid w:val="004E56A8"/>
    <w:rsid w:val="0050132F"/>
    <w:rsid w:val="005121E5"/>
    <w:rsid w:val="00515DD7"/>
    <w:rsid w:val="0053305C"/>
    <w:rsid w:val="00542D8C"/>
    <w:rsid w:val="00561501"/>
    <w:rsid w:val="00564519"/>
    <w:rsid w:val="00570D6A"/>
    <w:rsid w:val="00594A35"/>
    <w:rsid w:val="005A1EF5"/>
    <w:rsid w:val="005A4108"/>
    <w:rsid w:val="005B52B5"/>
    <w:rsid w:val="005B76D7"/>
    <w:rsid w:val="005D2647"/>
    <w:rsid w:val="005D5E9C"/>
    <w:rsid w:val="005F1CDE"/>
    <w:rsid w:val="00662022"/>
    <w:rsid w:val="006665B2"/>
    <w:rsid w:val="006B1A59"/>
    <w:rsid w:val="006B37CF"/>
    <w:rsid w:val="006E66B7"/>
    <w:rsid w:val="006F0F8C"/>
    <w:rsid w:val="007053B5"/>
    <w:rsid w:val="007124B2"/>
    <w:rsid w:val="007160D2"/>
    <w:rsid w:val="00737A25"/>
    <w:rsid w:val="00737B5F"/>
    <w:rsid w:val="008079BA"/>
    <w:rsid w:val="008114B0"/>
    <w:rsid w:val="00853279"/>
    <w:rsid w:val="008606DD"/>
    <w:rsid w:val="0089509F"/>
    <w:rsid w:val="00895C91"/>
    <w:rsid w:val="008A4166"/>
    <w:rsid w:val="008B7E2E"/>
    <w:rsid w:val="008C2F8A"/>
    <w:rsid w:val="008D7BB6"/>
    <w:rsid w:val="008F642B"/>
    <w:rsid w:val="00914577"/>
    <w:rsid w:val="009148D9"/>
    <w:rsid w:val="009412B7"/>
    <w:rsid w:val="009968E8"/>
    <w:rsid w:val="009B619A"/>
    <w:rsid w:val="009C0268"/>
    <w:rsid w:val="009D7324"/>
    <w:rsid w:val="00A15458"/>
    <w:rsid w:val="00A34B0E"/>
    <w:rsid w:val="00A37C58"/>
    <w:rsid w:val="00A45725"/>
    <w:rsid w:val="00A54D12"/>
    <w:rsid w:val="00A57F5E"/>
    <w:rsid w:val="00A77705"/>
    <w:rsid w:val="00A94E2B"/>
    <w:rsid w:val="00AA5DAC"/>
    <w:rsid w:val="00AB0CA1"/>
    <w:rsid w:val="00AD3280"/>
    <w:rsid w:val="00AD3344"/>
    <w:rsid w:val="00AF6348"/>
    <w:rsid w:val="00B12CE2"/>
    <w:rsid w:val="00B177AE"/>
    <w:rsid w:val="00B50A86"/>
    <w:rsid w:val="00B55B87"/>
    <w:rsid w:val="00BA02DD"/>
    <w:rsid w:val="00BC777D"/>
    <w:rsid w:val="00BD5927"/>
    <w:rsid w:val="00C63DED"/>
    <w:rsid w:val="00C80A98"/>
    <w:rsid w:val="00C97A18"/>
    <w:rsid w:val="00CA6970"/>
    <w:rsid w:val="00CC2245"/>
    <w:rsid w:val="00CC2991"/>
    <w:rsid w:val="00CC5D16"/>
    <w:rsid w:val="00CD7E0A"/>
    <w:rsid w:val="00CE0C60"/>
    <w:rsid w:val="00CE3262"/>
    <w:rsid w:val="00CF0C94"/>
    <w:rsid w:val="00D23E77"/>
    <w:rsid w:val="00D32EC1"/>
    <w:rsid w:val="00D333F8"/>
    <w:rsid w:val="00D35F0D"/>
    <w:rsid w:val="00D54386"/>
    <w:rsid w:val="00D54ADF"/>
    <w:rsid w:val="00D80704"/>
    <w:rsid w:val="00D82E83"/>
    <w:rsid w:val="00D91B44"/>
    <w:rsid w:val="00DA225E"/>
    <w:rsid w:val="00DD7816"/>
    <w:rsid w:val="00DE023E"/>
    <w:rsid w:val="00DE6A44"/>
    <w:rsid w:val="00DE7F9E"/>
    <w:rsid w:val="00DF568E"/>
    <w:rsid w:val="00DF6D5E"/>
    <w:rsid w:val="00E07B0C"/>
    <w:rsid w:val="00E16744"/>
    <w:rsid w:val="00E22A4A"/>
    <w:rsid w:val="00E30571"/>
    <w:rsid w:val="00E65C1E"/>
    <w:rsid w:val="00E7021D"/>
    <w:rsid w:val="00E9621A"/>
    <w:rsid w:val="00EA5EBF"/>
    <w:rsid w:val="00EB609D"/>
    <w:rsid w:val="00EE2C99"/>
    <w:rsid w:val="00EF1D48"/>
    <w:rsid w:val="00F14236"/>
    <w:rsid w:val="00F20CB0"/>
    <w:rsid w:val="00F32186"/>
    <w:rsid w:val="00F378AF"/>
    <w:rsid w:val="00F44DFA"/>
    <w:rsid w:val="00F475DC"/>
    <w:rsid w:val="00F82D2E"/>
    <w:rsid w:val="00F83745"/>
    <w:rsid w:val="00F9419A"/>
    <w:rsid w:val="00FA402D"/>
    <w:rsid w:val="00FB1F2E"/>
    <w:rsid w:val="00FD51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A471BF-DE74-4E3B-A018-5D8878D5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A5D"/>
    <w:rPr>
      <w:lang w:val="es-ES_tradnl"/>
    </w:rPr>
  </w:style>
  <w:style w:type="paragraph" w:styleId="Ttulo1">
    <w:name w:val="heading 1"/>
    <w:basedOn w:val="Normal"/>
    <w:next w:val="Normal"/>
    <w:link w:val="Ttulo1Car"/>
    <w:qFormat/>
    <w:rsid w:val="00A15458"/>
    <w:pPr>
      <w:keepNext/>
      <w:spacing w:after="0" w:line="240" w:lineRule="auto"/>
      <w:ind w:left="2520"/>
      <w:jc w:val="center"/>
      <w:outlineLvl w:val="0"/>
    </w:pPr>
    <w:rPr>
      <w:rFonts w:ascii="Arial" w:eastAsia="Times New Roman" w:hAnsi="Arial" w:cs="Arial"/>
      <w:sz w:val="3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77705"/>
    <w:pPr>
      <w:tabs>
        <w:tab w:val="center" w:pos="4252"/>
        <w:tab w:val="right" w:pos="8504"/>
      </w:tabs>
      <w:spacing w:after="0" w:line="240" w:lineRule="auto"/>
    </w:pPr>
  </w:style>
  <w:style w:type="character" w:customStyle="1" w:styleId="EncabezadoCar">
    <w:name w:val="Encabezado Car"/>
    <w:basedOn w:val="Fuentedeprrafopredeter"/>
    <w:link w:val="Encabezado"/>
    <w:rsid w:val="00A77705"/>
    <w:rPr>
      <w:lang w:val="es-ES_tradnl"/>
    </w:rPr>
  </w:style>
  <w:style w:type="paragraph" w:styleId="Piedepgina">
    <w:name w:val="footer"/>
    <w:basedOn w:val="Normal"/>
    <w:link w:val="PiedepginaCar"/>
    <w:uiPriority w:val="99"/>
    <w:unhideWhenUsed/>
    <w:rsid w:val="00A77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7705"/>
    <w:rPr>
      <w:lang w:val="es-ES_tradnl"/>
    </w:rPr>
  </w:style>
  <w:style w:type="paragraph" w:styleId="Textodeglobo">
    <w:name w:val="Balloon Text"/>
    <w:basedOn w:val="Normal"/>
    <w:link w:val="TextodegloboCar"/>
    <w:uiPriority w:val="99"/>
    <w:semiHidden/>
    <w:unhideWhenUsed/>
    <w:rsid w:val="00A777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705"/>
    <w:rPr>
      <w:rFonts w:ascii="Tahoma" w:hAnsi="Tahoma" w:cs="Tahoma"/>
      <w:sz w:val="16"/>
      <w:szCs w:val="16"/>
      <w:lang w:val="es-ES_tradnl"/>
    </w:rPr>
  </w:style>
  <w:style w:type="paragraph" w:styleId="Prrafodelista">
    <w:name w:val="List Paragraph"/>
    <w:basedOn w:val="Normal"/>
    <w:uiPriority w:val="34"/>
    <w:qFormat/>
    <w:rsid w:val="00BC777D"/>
    <w:pPr>
      <w:ind w:left="720"/>
      <w:contextualSpacing/>
    </w:pPr>
  </w:style>
  <w:style w:type="character" w:styleId="Hipervnculo">
    <w:name w:val="Hyperlink"/>
    <w:basedOn w:val="Fuentedeprrafopredeter"/>
    <w:uiPriority w:val="99"/>
    <w:unhideWhenUsed/>
    <w:rsid w:val="0053305C"/>
    <w:rPr>
      <w:color w:val="0000FF"/>
      <w:u w:val="single"/>
    </w:rPr>
  </w:style>
  <w:style w:type="character" w:styleId="CitaHTML">
    <w:name w:val="HTML Cite"/>
    <w:basedOn w:val="Fuentedeprrafopredeter"/>
    <w:uiPriority w:val="99"/>
    <w:semiHidden/>
    <w:unhideWhenUsed/>
    <w:rsid w:val="0053305C"/>
    <w:rPr>
      <w:i/>
      <w:iCs/>
    </w:rPr>
  </w:style>
  <w:style w:type="character" w:customStyle="1" w:styleId="Ttulo1Car">
    <w:name w:val="Título 1 Car"/>
    <w:basedOn w:val="Fuentedeprrafopredeter"/>
    <w:link w:val="Ttulo1"/>
    <w:rsid w:val="00A15458"/>
    <w:rPr>
      <w:rFonts w:ascii="Arial" w:eastAsia="Times New Roman" w:hAnsi="Arial" w:cs="Arial"/>
      <w:sz w:val="32"/>
      <w:szCs w:val="24"/>
    </w:rPr>
  </w:style>
  <w:style w:type="table" w:styleId="Tablaconcuadrcula">
    <w:name w:val="Table Grid"/>
    <w:basedOn w:val="Tablanormal"/>
    <w:uiPriority w:val="59"/>
    <w:rsid w:val="00021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63040">
      <w:bodyDiv w:val="1"/>
      <w:marLeft w:val="0"/>
      <w:marRight w:val="0"/>
      <w:marTop w:val="0"/>
      <w:marBottom w:val="0"/>
      <w:divBdr>
        <w:top w:val="none" w:sz="0" w:space="0" w:color="auto"/>
        <w:left w:val="none" w:sz="0" w:space="0" w:color="auto"/>
        <w:bottom w:val="none" w:sz="0" w:space="0" w:color="auto"/>
        <w:right w:val="none" w:sz="0" w:space="0" w:color="auto"/>
      </w:divBdr>
      <w:divsChild>
        <w:div w:id="1661272919">
          <w:marLeft w:val="274"/>
          <w:marRight w:val="0"/>
          <w:marTop w:val="760"/>
          <w:marBottom w:val="0"/>
          <w:divBdr>
            <w:top w:val="none" w:sz="0" w:space="0" w:color="auto"/>
            <w:left w:val="none" w:sz="0" w:space="0" w:color="auto"/>
            <w:bottom w:val="none" w:sz="0" w:space="0" w:color="auto"/>
            <w:right w:val="none" w:sz="0" w:space="0" w:color="auto"/>
          </w:divBdr>
        </w:div>
        <w:div w:id="472915306">
          <w:marLeft w:val="274"/>
          <w:marRight w:val="0"/>
          <w:marTop w:val="760"/>
          <w:marBottom w:val="0"/>
          <w:divBdr>
            <w:top w:val="none" w:sz="0" w:space="0" w:color="auto"/>
            <w:left w:val="none" w:sz="0" w:space="0" w:color="auto"/>
            <w:bottom w:val="none" w:sz="0" w:space="0" w:color="auto"/>
            <w:right w:val="none" w:sz="0" w:space="0" w:color="auto"/>
          </w:divBdr>
        </w:div>
        <w:div w:id="1082141624">
          <w:marLeft w:val="274"/>
          <w:marRight w:val="0"/>
          <w:marTop w:val="760"/>
          <w:marBottom w:val="0"/>
          <w:divBdr>
            <w:top w:val="none" w:sz="0" w:space="0" w:color="auto"/>
            <w:left w:val="none" w:sz="0" w:space="0" w:color="auto"/>
            <w:bottom w:val="none" w:sz="0" w:space="0" w:color="auto"/>
            <w:right w:val="none" w:sz="0" w:space="0" w:color="auto"/>
          </w:divBdr>
        </w:div>
        <w:div w:id="1470051278">
          <w:marLeft w:val="274"/>
          <w:marRight w:val="0"/>
          <w:marTop w:val="760"/>
          <w:marBottom w:val="0"/>
          <w:divBdr>
            <w:top w:val="none" w:sz="0" w:space="0" w:color="auto"/>
            <w:left w:val="none" w:sz="0" w:space="0" w:color="auto"/>
            <w:bottom w:val="none" w:sz="0" w:space="0" w:color="auto"/>
            <w:right w:val="none" w:sz="0" w:space="0" w:color="auto"/>
          </w:divBdr>
        </w:div>
      </w:divsChild>
    </w:div>
    <w:div w:id="335504226">
      <w:bodyDiv w:val="1"/>
      <w:marLeft w:val="0"/>
      <w:marRight w:val="0"/>
      <w:marTop w:val="0"/>
      <w:marBottom w:val="0"/>
      <w:divBdr>
        <w:top w:val="none" w:sz="0" w:space="0" w:color="auto"/>
        <w:left w:val="none" w:sz="0" w:space="0" w:color="auto"/>
        <w:bottom w:val="none" w:sz="0" w:space="0" w:color="auto"/>
        <w:right w:val="none" w:sz="0" w:space="0" w:color="auto"/>
      </w:divBdr>
      <w:divsChild>
        <w:div w:id="371154054">
          <w:marLeft w:val="662"/>
          <w:marRight w:val="0"/>
          <w:marTop w:val="500"/>
          <w:marBottom w:val="0"/>
          <w:divBdr>
            <w:top w:val="none" w:sz="0" w:space="0" w:color="auto"/>
            <w:left w:val="none" w:sz="0" w:space="0" w:color="auto"/>
            <w:bottom w:val="none" w:sz="0" w:space="0" w:color="auto"/>
            <w:right w:val="none" w:sz="0" w:space="0" w:color="auto"/>
          </w:divBdr>
        </w:div>
      </w:divsChild>
    </w:div>
    <w:div w:id="384960196">
      <w:bodyDiv w:val="1"/>
      <w:marLeft w:val="0"/>
      <w:marRight w:val="0"/>
      <w:marTop w:val="0"/>
      <w:marBottom w:val="0"/>
      <w:divBdr>
        <w:top w:val="none" w:sz="0" w:space="0" w:color="auto"/>
        <w:left w:val="none" w:sz="0" w:space="0" w:color="auto"/>
        <w:bottom w:val="none" w:sz="0" w:space="0" w:color="auto"/>
        <w:right w:val="none" w:sz="0" w:space="0" w:color="auto"/>
      </w:divBdr>
    </w:div>
    <w:div w:id="400490526">
      <w:bodyDiv w:val="1"/>
      <w:marLeft w:val="0"/>
      <w:marRight w:val="0"/>
      <w:marTop w:val="0"/>
      <w:marBottom w:val="0"/>
      <w:divBdr>
        <w:top w:val="none" w:sz="0" w:space="0" w:color="auto"/>
        <w:left w:val="none" w:sz="0" w:space="0" w:color="auto"/>
        <w:bottom w:val="none" w:sz="0" w:space="0" w:color="auto"/>
        <w:right w:val="none" w:sz="0" w:space="0" w:color="auto"/>
      </w:divBdr>
    </w:div>
    <w:div w:id="599489526">
      <w:bodyDiv w:val="1"/>
      <w:marLeft w:val="0"/>
      <w:marRight w:val="0"/>
      <w:marTop w:val="0"/>
      <w:marBottom w:val="0"/>
      <w:divBdr>
        <w:top w:val="none" w:sz="0" w:space="0" w:color="auto"/>
        <w:left w:val="none" w:sz="0" w:space="0" w:color="auto"/>
        <w:bottom w:val="none" w:sz="0" w:space="0" w:color="auto"/>
        <w:right w:val="none" w:sz="0" w:space="0" w:color="auto"/>
      </w:divBdr>
    </w:div>
    <w:div w:id="600572466">
      <w:bodyDiv w:val="1"/>
      <w:marLeft w:val="0"/>
      <w:marRight w:val="0"/>
      <w:marTop w:val="0"/>
      <w:marBottom w:val="0"/>
      <w:divBdr>
        <w:top w:val="none" w:sz="0" w:space="0" w:color="auto"/>
        <w:left w:val="none" w:sz="0" w:space="0" w:color="auto"/>
        <w:bottom w:val="none" w:sz="0" w:space="0" w:color="auto"/>
        <w:right w:val="none" w:sz="0" w:space="0" w:color="auto"/>
      </w:divBdr>
    </w:div>
    <w:div w:id="883950858">
      <w:bodyDiv w:val="1"/>
      <w:marLeft w:val="0"/>
      <w:marRight w:val="0"/>
      <w:marTop w:val="0"/>
      <w:marBottom w:val="0"/>
      <w:divBdr>
        <w:top w:val="none" w:sz="0" w:space="0" w:color="auto"/>
        <w:left w:val="none" w:sz="0" w:space="0" w:color="auto"/>
        <w:bottom w:val="none" w:sz="0" w:space="0" w:color="auto"/>
        <w:right w:val="none" w:sz="0" w:space="0" w:color="auto"/>
      </w:divBdr>
    </w:div>
    <w:div w:id="1065959018">
      <w:bodyDiv w:val="1"/>
      <w:marLeft w:val="0"/>
      <w:marRight w:val="0"/>
      <w:marTop w:val="0"/>
      <w:marBottom w:val="0"/>
      <w:divBdr>
        <w:top w:val="none" w:sz="0" w:space="0" w:color="auto"/>
        <w:left w:val="none" w:sz="0" w:space="0" w:color="auto"/>
        <w:bottom w:val="none" w:sz="0" w:space="0" w:color="auto"/>
        <w:right w:val="none" w:sz="0" w:space="0" w:color="auto"/>
      </w:divBdr>
    </w:div>
    <w:div w:id="1149400314">
      <w:bodyDiv w:val="1"/>
      <w:marLeft w:val="0"/>
      <w:marRight w:val="0"/>
      <w:marTop w:val="0"/>
      <w:marBottom w:val="0"/>
      <w:divBdr>
        <w:top w:val="none" w:sz="0" w:space="0" w:color="auto"/>
        <w:left w:val="none" w:sz="0" w:space="0" w:color="auto"/>
        <w:bottom w:val="none" w:sz="0" w:space="0" w:color="auto"/>
        <w:right w:val="none" w:sz="0" w:space="0" w:color="auto"/>
      </w:divBdr>
      <w:divsChild>
        <w:div w:id="2048482736">
          <w:marLeft w:val="662"/>
          <w:marRight w:val="0"/>
          <w:marTop w:val="500"/>
          <w:marBottom w:val="0"/>
          <w:divBdr>
            <w:top w:val="none" w:sz="0" w:space="0" w:color="auto"/>
            <w:left w:val="none" w:sz="0" w:space="0" w:color="auto"/>
            <w:bottom w:val="none" w:sz="0" w:space="0" w:color="auto"/>
            <w:right w:val="none" w:sz="0" w:space="0" w:color="auto"/>
          </w:divBdr>
        </w:div>
      </w:divsChild>
    </w:div>
    <w:div w:id="1336688887">
      <w:bodyDiv w:val="1"/>
      <w:marLeft w:val="0"/>
      <w:marRight w:val="0"/>
      <w:marTop w:val="0"/>
      <w:marBottom w:val="0"/>
      <w:divBdr>
        <w:top w:val="none" w:sz="0" w:space="0" w:color="auto"/>
        <w:left w:val="none" w:sz="0" w:space="0" w:color="auto"/>
        <w:bottom w:val="none" w:sz="0" w:space="0" w:color="auto"/>
        <w:right w:val="none" w:sz="0" w:space="0" w:color="auto"/>
      </w:divBdr>
    </w:div>
    <w:div w:id="1380321825">
      <w:bodyDiv w:val="1"/>
      <w:marLeft w:val="0"/>
      <w:marRight w:val="0"/>
      <w:marTop w:val="0"/>
      <w:marBottom w:val="0"/>
      <w:divBdr>
        <w:top w:val="none" w:sz="0" w:space="0" w:color="auto"/>
        <w:left w:val="none" w:sz="0" w:space="0" w:color="auto"/>
        <w:bottom w:val="none" w:sz="0" w:space="0" w:color="auto"/>
        <w:right w:val="none" w:sz="0" w:space="0" w:color="auto"/>
      </w:divBdr>
    </w:div>
    <w:div w:id="1455178582">
      <w:bodyDiv w:val="1"/>
      <w:marLeft w:val="0"/>
      <w:marRight w:val="0"/>
      <w:marTop w:val="0"/>
      <w:marBottom w:val="0"/>
      <w:divBdr>
        <w:top w:val="none" w:sz="0" w:space="0" w:color="auto"/>
        <w:left w:val="none" w:sz="0" w:space="0" w:color="auto"/>
        <w:bottom w:val="none" w:sz="0" w:space="0" w:color="auto"/>
        <w:right w:val="none" w:sz="0" w:space="0" w:color="auto"/>
      </w:divBdr>
      <w:divsChild>
        <w:div w:id="494955813">
          <w:marLeft w:val="662"/>
          <w:marRight w:val="0"/>
          <w:marTop w:val="500"/>
          <w:marBottom w:val="0"/>
          <w:divBdr>
            <w:top w:val="none" w:sz="0" w:space="0" w:color="auto"/>
            <w:left w:val="none" w:sz="0" w:space="0" w:color="auto"/>
            <w:bottom w:val="none" w:sz="0" w:space="0" w:color="auto"/>
            <w:right w:val="none" w:sz="0" w:space="0" w:color="auto"/>
          </w:divBdr>
        </w:div>
      </w:divsChild>
    </w:div>
    <w:div w:id="1575628110">
      <w:bodyDiv w:val="1"/>
      <w:marLeft w:val="0"/>
      <w:marRight w:val="0"/>
      <w:marTop w:val="0"/>
      <w:marBottom w:val="0"/>
      <w:divBdr>
        <w:top w:val="none" w:sz="0" w:space="0" w:color="auto"/>
        <w:left w:val="none" w:sz="0" w:space="0" w:color="auto"/>
        <w:bottom w:val="none" w:sz="0" w:space="0" w:color="auto"/>
        <w:right w:val="none" w:sz="0" w:space="0" w:color="auto"/>
      </w:divBdr>
      <w:divsChild>
        <w:div w:id="1371144894">
          <w:marLeft w:val="662"/>
          <w:marRight w:val="0"/>
          <w:marTop w:val="500"/>
          <w:marBottom w:val="0"/>
          <w:divBdr>
            <w:top w:val="none" w:sz="0" w:space="0" w:color="auto"/>
            <w:left w:val="none" w:sz="0" w:space="0" w:color="auto"/>
            <w:bottom w:val="none" w:sz="0" w:space="0" w:color="auto"/>
            <w:right w:val="none" w:sz="0" w:space="0" w:color="auto"/>
          </w:divBdr>
        </w:div>
        <w:div w:id="103769701">
          <w:marLeft w:val="1483"/>
          <w:marRight w:val="0"/>
          <w:marTop w:val="500"/>
          <w:marBottom w:val="0"/>
          <w:divBdr>
            <w:top w:val="none" w:sz="0" w:space="0" w:color="auto"/>
            <w:left w:val="none" w:sz="0" w:space="0" w:color="auto"/>
            <w:bottom w:val="none" w:sz="0" w:space="0" w:color="auto"/>
            <w:right w:val="none" w:sz="0" w:space="0" w:color="auto"/>
          </w:divBdr>
        </w:div>
        <w:div w:id="112528070">
          <w:marLeft w:val="1483"/>
          <w:marRight w:val="0"/>
          <w:marTop w:val="500"/>
          <w:marBottom w:val="0"/>
          <w:divBdr>
            <w:top w:val="none" w:sz="0" w:space="0" w:color="auto"/>
            <w:left w:val="none" w:sz="0" w:space="0" w:color="auto"/>
            <w:bottom w:val="none" w:sz="0" w:space="0" w:color="auto"/>
            <w:right w:val="none" w:sz="0" w:space="0" w:color="auto"/>
          </w:divBdr>
        </w:div>
        <w:div w:id="870260666">
          <w:marLeft w:val="1483"/>
          <w:marRight w:val="0"/>
          <w:marTop w:val="500"/>
          <w:marBottom w:val="0"/>
          <w:divBdr>
            <w:top w:val="none" w:sz="0" w:space="0" w:color="auto"/>
            <w:left w:val="none" w:sz="0" w:space="0" w:color="auto"/>
            <w:bottom w:val="none" w:sz="0" w:space="0" w:color="auto"/>
            <w:right w:val="none" w:sz="0" w:space="0" w:color="auto"/>
          </w:divBdr>
        </w:div>
        <w:div w:id="548422847">
          <w:marLeft w:val="1483"/>
          <w:marRight w:val="0"/>
          <w:marTop w:val="500"/>
          <w:marBottom w:val="0"/>
          <w:divBdr>
            <w:top w:val="none" w:sz="0" w:space="0" w:color="auto"/>
            <w:left w:val="none" w:sz="0" w:space="0" w:color="auto"/>
            <w:bottom w:val="none" w:sz="0" w:space="0" w:color="auto"/>
            <w:right w:val="none" w:sz="0" w:space="0" w:color="auto"/>
          </w:divBdr>
        </w:div>
      </w:divsChild>
    </w:div>
    <w:div w:id="1681815340">
      <w:bodyDiv w:val="1"/>
      <w:marLeft w:val="0"/>
      <w:marRight w:val="0"/>
      <w:marTop w:val="0"/>
      <w:marBottom w:val="0"/>
      <w:divBdr>
        <w:top w:val="none" w:sz="0" w:space="0" w:color="auto"/>
        <w:left w:val="none" w:sz="0" w:space="0" w:color="auto"/>
        <w:bottom w:val="none" w:sz="0" w:space="0" w:color="auto"/>
        <w:right w:val="none" w:sz="0" w:space="0" w:color="auto"/>
      </w:divBdr>
    </w:div>
    <w:div w:id="1790657322">
      <w:bodyDiv w:val="1"/>
      <w:marLeft w:val="0"/>
      <w:marRight w:val="0"/>
      <w:marTop w:val="0"/>
      <w:marBottom w:val="0"/>
      <w:divBdr>
        <w:top w:val="none" w:sz="0" w:space="0" w:color="auto"/>
        <w:left w:val="none" w:sz="0" w:space="0" w:color="auto"/>
        <w:bottom w:val="none" w:sz="0" w:space="0" w:color="auto"/>
        <w:right w:val="none" w:sz="0" w:space="0" w:color="auto"/>
      </w:divBdr>
      <w:divsChild>
        <w:div w:id="2127041620">
          <w:marLeft w:val="662"/>
          <w:marRight w:val="0"/>
          <w:marTop w:val="500"/>
          <w:marBottom w:val="0"/>
          <w:divBdr>
            <w:top w:val="none" w:sz="0" w:space="0" w:color="auto"/>
            <w:left w:val="none" w:sz="0" w:space="0" w:color="auto"/>
            <w:bottom w:val="none" w:sz="0" w:space="0" w:color="auto"/>
            <w:right w:val="none" w:sz="0" w:space="0" w:color="auto"/>
          </w:divBdr>
        </w:div>
      </w:divsChild>
    </w:div>
    <w:div w:id="1797790868">
      <w:bodyDiv w:val="1"/>
      <w:marLeft w:val="0"/>
      <w:marRight w:val="0"/>
      <w:marTop w:val="0"/>
      <w:marBottom w:val="0"/>
      <w:divBdr>
        <w:top w:val="none" w:sz="0" w:space="0" w:color="auto"/>
        <w:left w:val="none" w:sz="0" w:space="0" w:color="auto"/>
        <w:bottom w:val="none" w:sz="0" w:space="0" w:color="auto"/>
        <w:right w:val="none" w:sz="0" w:space="0" w:color="auto"/>
      </w:divBdr>
    </w:div>
    <w:div w:id="1893350879">
      <w:bodyDiv w:val="1"/>
      <w:marLeft w:val="0"/>
      <w:marRight w:val="0"/>
      <w:marTop w:val="0"/>
      <w:marBottom w:val="0"/>
      <w:divBdr>
        <w:top w:val="none" w:sz="0" w:space="0" w:color="auto"/>
        <w:left w:val="none" w:sz="0" w:space="0" w:color="auto"/>
        <w:bottom w:val="none" w:sz="0" w:space="0" w:color="auto"/>
        <w:right w:val="none" w:sz="0" w:space="0" w:color="auto"/>
      </w:divBdr>
    </w:div>
    <w:div w:id="1926525720">
      <w:bodyDiv w:val="1"/>
      <w:marLeft w:val="0"/>
      <w:marRight w:val="0"/>
      <w:marTop w:val="0"/>
      <w:marBottom w:val="0"/>
      <w:divBdr>
        <w:top w:val="none" w:sz="0" w:space="0" w:color="auto"/>
        <w:left w:val="none" w:sz="0" w:space="0" w:color="auto"/>
        <w:bottom w:val="none" w:sz="0" w:space="0" w:color="auto"/>
        <w:right w:val="none" w:sz="0" w:space="0" w:color="auto"/>
      </w:divBdr>
      <w:divsChild>
        <w:div w:id="1299260197">
          <w:marLeft w:val="274"/>
          <w:marRight w:val="0"/>
          <w:marTop w:val="760"/>
          <w:marBottom w:val="0"/>
          <w:divBdr>
            <w:top w:val="none" w:sz="0" w:space="0" w:color="auto"/>
            <w:left w:val="none" w:sz="0" w:space="0" w:color="auto"/>
            <w:bottom w:val="none" w:sz="0" w:space="0" w:color="auto"/>
            <w:right w:val="none" w:sz="0" w:space="0" w:color="auto"/>
          </w:divBdr>
        </w:div>
        <w:div w:id="2049724205">
          <w:marLeft w:val="274"/>
          <w:marRight w:val="0"/>
          <w:marTop w:val="760"/>
          <w:marBottom w:val="0"/>
          <w:divBdr>
            <w:top w:val="none" w:sz="0" w:space="0" w:color="auto"/>
            <w:left w:val="none" w:sz="0" w:space="0" w:color="auto"/>
            <w:bottom w:val="none" w:sz="0" w:space="0" w:color="auto"/>
            <w:right w:val="none" w:sz="0" w:space="0" w:color="auto"/>
          </w:divBdr>
        </w:div>
        <w:div w:id="658265521">
          <w:marLeft w:val="274"/>
          <w:marRight w:val="0"/>
          <w:marTop w:val="760"/>
          <w:marBottom w:val="0"/>
          <w:divBdr>
            <w:top w:val="none" w:sz="0" w:space="0" w:color="auto"/>
            <w:left w:val="none" w:sz="0" w:space="0" w:color="auto"/>
            <w:bottom w:val="none" w:sz="0" w:space="0" w:color="auto"/>
            <w:right w:val="none" w:sz="0" w:space="0" w:color="auto"/>
          </w:divBdr>
        </w:div>
        <w:div w:id="1626235006">
          <w:marLeft w:val="274"/>
          <w:marRight w:val="0"/>
          <w:marTop w:val="760"/>
          <w:marBottom w:val="0"/>
          <w:divBdr>
            <w:top w:val="none" w:sz="0" w:space="0" w:color="auto"/>
            <w:left w:val="none" w:sz="0" w:space="0" w:color="auto"/>
            <w:bottom w:val="none" w:sz="0" w:space="0" w:color="auto"/>
            <w:right w:val="none" w:sz="0" w:space="0" w:color="auto"/>
          </w:divBdr>
        </w:div>
      </w:divsChild>
    </w:div>
    <w:div w:id="1947034726">
      <w:bodyDiv w:val="1"/>
      <w:marLeft w:val="0"/>
      <w:marRight w:val="0"/>
      <w:marTop w:val="0"/>
      <w:marBottom w:val="0"/>
      <w:divBdr>
        <w:top w:val="none" w:sz="0" w:space="0" w:color="auto"/>
        <w:left w:val="none" w:sz="0" w:space="0" w:color="auto"/>
        <w:bottom w:val="none" w:sz="0" w:space="0" w:color="auto"/>
        <w:right w:val="none" w:sz="0" w:space="0" w:color="auto"/>
      </w:divBdr>
    </w:div>
    <w:div w:id="2087260481">
      <w:bodyDiv w:val="1"/>
      <w:marLeft w:val="0"/>
      <w:marRight w:val="0"/>
      <w:marTop w:val="0"/>
      <w:marBottom w:val="0"/>
      <w:divBdr>
        <w:top w:val="none" w:sz="0" w:space="0" w:color="auto"/>
        <w:left w:val="none" w:sz="0" w:space="0" w:color="auto"/>
        <w:bottom w:val="none" w:sz="0" w:space="0" w:color="auto"/>
        <w:right w:val="none" w:sz="0" w:space="0" w:color="auto"/>
      </w:divBdr>
    </w:div>
    <w:div w:id="21414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vistalatinacs.org/073paper/1266/RLCS-paper1266.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rcomfidencial.com/comunicacion/apple-tree-entra-de-lleno-en-terreno-de-la-publicidad-y-crea-la-agencia-orchard-communications-20180227-040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evistaelobservador.com/images/stories/envios_18/marzo/pr.pdf" TargetMode="External"/><Relationship Id="rId4" Type="http://schemas.openxmlformats.org/officeDocument/2006/relationships/settings" Target="settings.xml"/><Relationship Id="rId9" Type="http://schemas.openxmlformats.org/officeDocument/2006/relationships/hyperlink" Target="https://prnoticias.com/comunicacion/facturacion-del-sector-rrpp/20167834-ranking-agencias-comunicacion-mas-factura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0D2C9-AC7F-49F4-B574-43FEC5284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8</Pages>
  <Words>2169</Words>
  <Characters>11930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Iglesias</dc:creator>
  <cp:lastModifiedBy>Carmen de la Llave Mira</cp:lastModifiedBy>
  <cp:revision>33</cp:revision>
  <cp:lastPrinted>2014-03-13T16:04:00Z</cp:lastPrinted>
  <dcterms:created xsi:type="dcterms:W3CDTF">2019-05-31T11:19:00Z</dcterms:created>
  <dcterms:modified xsi:type="dcterms:W3CDTF">2019-06-02T21:02:00Z</dcterms:modified>
</cp:coreProperties>
</file>