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20A548" w14:textId="77777777" w:rsidR="00EB609D" w:rsidRPr="00B967DF" w:rsidRDefault="00DF6D5E" w:rsidP="004209FF">
      <w:pPr>
        <w:jc w:val="center"/>
        <w:rPr>
          <w:rFonts w:ascii="Arial" w:hAnsi="Arial" w:cs="Arial"/>
          <w:b/>
          <w:lang w:val="en-US"/>
        </w:rPr>
      </w:pPr>
      <w:r w:rsidRPr="00B967DF">
        <w:rPr>
          <w:rFonts w:ascii="Arial" w:hAnsi="Arial" w:cs="Arial"/>
          <w:b/>
          <w:lang w:val="en-US"/>
        </w:rPr>
        <w:t>BUSINESS CASE</w:t>
      </w:r>
    </w:p>
    <w:p w14:paraId="3371A063" w14:textId="77777777" w:rsidR="00DF6D5E" w:rsidRPr="00B967DF" w:rsidRDefault="009412B7" w:rsidP="004209FF">
      <w:pPr>
        <w:jc w:val="center"/>
        <w:rPr>
          <w:rFonts w:ascii="Arial" w:hAnsi="Arial" w:cs="Arial"/>
          <w:b/>
          <w:lang w:val="es-ES"/>
        </w:rPr>
      </w:pPr>
      <w:r w:rsidRPr="00B967DF">
        <w:rPr>
          <w:rFonts w:ascii="Arial" w:hAnsi="Arial" w:cs="Arial"/>
          <w:b/>
          <w:lang w:val="es-ES"/>
        </w:rPr>
        <w:t>Análisis Sectorial</w:t>
      </w:r>
    </w:p>
    <w:p w14:paraId="4E1EA4ED" w14:textId="77777777" w:rsidR="008D121F" w:rsidRPr="00B967DF" w:rsidRDefault="008D121F" w:rsidP="004209FF">
      <w:pPr>
        <w:jc w:val="center"/>
        <w:rPr>
          <w:rFonts w:ascii="Arial" w:hAnsi="Arial" w:cs="Arial"/>
          <w:b/>
          <w:lang w:val="es-ES"/>
        </w:rPr>
      </w:pPr>
    </w:p>
    <w:p w14:paraId="08A9EAF9" w14:textId="3D5D3A7B" w:rsidR="008D121F" w:rsidRPr="00B967DF" w:rsidRDefault="008D121F" w:rsidP="004209FF">
      <w:pPr>
        <w:jc w:val="center"/>
        <w:rPr>
          <w:rFonts w:ascii="Arial" w:hAnsi="Arial" w:cs="Arial"/>
          <w:b/>
          <w:lang w:val="es-ES"/>
        </w:rPr>
      </w:pPr>
      <w:r w:rsidRPr="00B967DF">
        <w:rPr>
          <w:rFonts w:ascii="Arial" w:hAnsi="Arial" w:cs="Arial"/>
          <w:b/>
          <w:lang w:val="es-ES"/>
        </w:rPr>
        <w:t xml:space="preserve">Diego </w:t>
      </w:r>
      <w:proofErr w:type="spellStart"/>
      <w:r w:rsidRPr="00B967DF">
        <w:rPr>
          <w:rFonts w:ascii="Arial" w:hAnsi="Arial" w:cs="Arial"/>
          <w:b/>
          <w:lang w:val="es-ES"/>
        </w:rPr>
        <w:t>Olavarria</w:t>
      </w:r>
      <w:proofErr w:type="spellEnd"/>
    </w:p>
    <w:p w14:paraId="79A801E2" w14:textId="3C99526E" w:rsidR="008D121F" w:rsidRPr="00B967DF" w:rsidRDefault="008D121F" w:rsidP="004209FF">
      <w:pPr>
        <w:jc w:val="center"/>
        <w:rPr>
          <w:rFonts w:ascii="Arial" w:hAnsi="Arial" w:cs="Arial"/>
          <w:b/>
          <w:lang w:val="es-ES"/>
        </w:rPr>
      </w:pPr>
      <w:r w:rsidRPr="00B967DF">
        <w:rPr>
          <w:rFonts w:ascii="Arial" w:hAnsi="Arial" w:cs="Arial"/>
          <w:b/>
          <w:lang w:val="es-ES"/>
        </w:rPr>
        <w:t>LLYC Brasil</w:t>
      </w:r>
    </w:p>
    <w:p w14:paraId="18B0F790" w14:textId="77777777" w:rsidR="0056609D" w:rsidRPr="00B967DF" w:rsidRDefault="0056609D" w:rsidP="00830289">
      <w:pPr>
        <w:rPr>
          <w:rFonts w:ascii="Arial" w:hAnsi="Arial" w:cs="Arial"/>
          <w:b/>
          <w:color w:val="000000" w:themeColor="text1"/>
          <w:lang w:val="pt-BR"/>
        </w:rPr>
      </w:pPr>
    </w:p>
    <w:p w14:paraId="7BCD9893" w14:textId="428A2870" w:rsidR="00F34197" w:rsidRPr="00B967DF" w:rsidRDefault="00F34197" w:rsidP="00830289">
      <w:pPr>
        <w:rPr>
          <w:rFonts w:ascii="Arial" w:hAnsi="Arial" w:cs="Arial"/>
          <w:color w:val="000000" w:themeColor="text1"/>
          <w:lang w:val="pt-BR"/>
        </w:rPr>
      </w:pPr>
    </w:p>
    <w:p w14:paraId="493E1A31" w14:textId="6E7FAAE8" w:rsidR="00126DD6" w:rsidRPr="00B967DF" w:rsidRDefault="00126DD6" w:rsidP="00830289">
      <w:pPr>
        <w:rPr>
          <w:rFonts w:ascii="Arial" w:hAnsi="Arial" w:cs="Arial"/>
          <w:color w:val="000000" w:themeColor="text1"/>
          <w:lang w:val="pt-BR"/>
        </w:rPr>
      </w:pPr>
    </w:p>
    <w:p w14:paraId="32CC6FB5" w14:textId="335717D6" w:rsidR="00126DD6" w:rsidRPr="00B967DF" w:rsidRDefault="00126DD6" w:rsidP="00830289">
      <w:pPr>
        <w:rPr>
          <w:rFonts w:ascii="Arial" w:hAnsi="Arial" w:cs="Arial"/>
          <w:color w:val="000000" w:themeColor="text1"/>
          <w:lang w:val="pt-BR"/>
        </w:rPr>
      </w:pPr>
    </w:p>
    <w:p w14:paraId="2F3A3473" w14:textId="66FAF318" w:rsidR="00126DD6" w:rsidRPr="00B967DF" w:rsidRDefault="00126DD6" w:rsidP="00830289">
      <w:pPr>
        <w:rPr>
          <w:rFonts w:ascii="Arial" w:hAnsi="Arial" w:cs="Arial"/>
          <w:color w:val="000000" w:themeColor="text1"/>
          <w:lang w:val="pt-BR"/>
        </w:rPr>
      </w:pPr>
    </w:p>
    <w:p w14:paraId="444CDF52" w14:textId="54203371" w:rsidR="00126DD6" w:rsidRPr="00B967DF" w:rsidRDefault="00126DD6" w:rsidP="00830289">
      <w:pPr>
        <w:rPr>
          <w:rFonts w:ascii="Arial" w:hAnsi="Arial" w:cs="Arial"/>
          <w:color w:val="000000" w:themeColor="text1"/>
          <w:lang w:val="pt-BR"/>
        </w:rPr>
      </w:pPr>
    </w:p>
    <w:p w14:paraId="72624A0B" w14:textId="3FBF7996" w:rsidR="00126DD6" w:rsidRPr="00B967DF" w:rsidRDefault="00126DD6" w:rsidP="00830289">
      <w:pPr>
        <w:rPr>
          <w:rFonts w:ascii="Arial" w:hAnsi="Arial" w:cs="Arial"/>
          <w:color w:val="000000" w:themeColor="text1"/>
          <w:lang w:val="pt-BR"/>
        </w:rPr>
      </w:pPr>
    </w:p>
    <w:p w14:paraId="2FA8576B" w14:textId="682E7B3C" w:rsidR="00126DD6" w:rsidRPr="00B967DF" w:rsidRDefault="00126DD6" w:rsidP="00830289">
      <w:pPr>
        <w:rPr>
          <w:rFonts w:ascii="Arial" w:hAnsi="Arial" w:cs="Arial"/>
          <w:color w:val="000000" w:themeColor="text1"/>
          <w:lang w:val="pt-BR"/>
        </w:rPr>
      </w:pPr>
    </w:p>
    <w:p w14:paraId="5A3AA50E" w14:textId="16DAF862" w:rsidR="00126DD6" w:rsidRPr="00B967DF" w:rsidRDefault="00126DD6" w:rsidP="00830289">
      <w:pPr>
        <w:rPr>
          <w:rFonts w:ascii="Arial" w:hAnsi="Arial" w:cs="Arial"/>
          <w:color w:val="000000" w:themeColor="text1"/>
          <w:lang w:val="pt-BR"/>
        </w:rPr>
      </w:pPr>
    </w:p>
    <w:p w14:paraId="69778976" w14:textId="29E1671C" w:rsidR="00126DD6" w:rsidRPr="00B967DF" w:rsidRDefault="00126DD6" w:rsidP="00830289">
      <w:pPr>
        <w:rPr>
          <w:rFonts w:ascii="Arial" w:hAnsi="Arial" w:cs="Arial"/>
          <w:color w:val="000000" w:themeColor="text1"/>
          <w:lang w:val="pt-BR"/>
        </w:rPr>
      </w:pPr>
    </w:p>
    <w:p w14:paraId="473D5E96" w14:textId="186269ED" w:rsidR="00126DD6" w:rsidRPr="00B967DF" w:rsidRDefault="00126DD6" w:rsidP="00830289">
      <w:pPr>
        <w:rPr>
          <w:rFonts w:ascii="Arial" w:hAnsi="Arial" w:cs="Arial"/>
          <w:color w:val="000000" w:themeColor="text1"/>
          <w:lang w:val="pt-BR"/>
        </w:rPr>
      </w:pPr>
    </w:p>
    <w:p w14:paraId="12865CE0" w14:textId="47A5C48F" w:rsidR="00126DD6" w:rsidRPr="00B967DF" w:rsidRDefault="00126DD6" w:rsidP="00830289">
      <w:pPr>
        <w:rPr>
          <w:rFonts w:ascii="Arial" w:hAnsi="Arial" w:cs="Arial"/>
          <w:color w:val="000000" w:themeColor="text1"/>
          <w:lang w:val="pt-BR"/>
        </w:rPr>
      </w:pPr>
    </w:p>
    <w:p w14:paraId="3D726ADB" w14:textId="697A2348" w:rsidR="00126DD6" w:rsidRPr="00B967DF" w:rsidRDefault="00126DD6" w:rsidP="00830289">
      <w:pPr>
        <w:rPr>
          <w:rFonts w:ascii="Arial" w:hAnsi="Arial" w:cs="Arial"/>
          <w:color w:val="000000" w:themeColor="text1"/>
          <w:lang w:val="pt-BR"/>
        </w:rPr>
      </w:pPr>
    </w:p>
    <w:p w14:paraId="0DA86530" w14:textId="103EA8B9" w:rsidR="00126DD6" w:rsidRPr="00B967DF" w:rsidRDefault="00126DD6" w:rsidP="00830289">
      <w:pPr>
        <w:rPr>
          <w:rFonts w:ascii="Arial" w:hAnsi="Arial" w:cs="Arial"/>
          <w:color w:val="000000" w:themeColor="text1"/>
          <w:lang w:val="pt-BR"/>
        </w:rPr>
      </w:pPr>
    </w:p>
    <w:p w14:paraId="4EDB8338" w14:textId="5645D628" w:rsidR="00126DD6" w:rsidRPr="00B967DF" w:rsidRDefault="00126DD6" w:rsidP="00830289">
      <w:pPr>
        <w:rPr>
          <w:rFonts w:ascii="Arial" w:hAnsi="Arial" w:cs="Arial"/>
          <w:color w:val="000000" w:themeColor="text1"/>
          <w:lang w:val="pt-BR"/>
        </w:rPr>
      </w:pPr>
    </w:p>
    <w:p w14:paraId="50359C10" w14:textId="33B1025B" w:rsidR="00126DD6" w:rsidRPr="00B967DF" w:rsidRDefault="00126DD6" w:rsidP="00830289">
      <w:pPr>
        <w:rPr>
          <w:rFonts w:ascii="Arial" w:hAnsi="Arial" w:cs="Arial"/>
          <w:color w:val="000000" w:themeColor="text1"/>
          <w:lang w:val="pt-BR"/>
        </w:rPr>
      </w:pPr>
    </w:p>
    <w:p w14:paraId="28B43028" w14:textId="23A832DE" w:rsidR="00126DD6" w:rsidRPr="00B967DF" w:rsidRDefault="00126DD6" w:rsidP="00830289">
      <w:pPr>
        <w:rPr>
          <w:rFonts w:ascii="Arial" w:hAnsi="Arial" w:cs="Arial"/>
          <w:color w:val="000000" w:themeColor="text1"/>
          <w:lang w:val="pt-BR"/>
        </w:rPr>
      </w:pPr>
    </w:p>
    <w:p w14:paraId="06B43B4E" w14:textId="4B53CBD8" w:rsidR="00126DD6" w:rsidRPr="00B967DF" w:rsidRDefault="00126DD6" w:rsidP="00830289">
      <w:pPr>
        <w:rPr>
          <w:rFonts w:ascii="Arial" w:hAnsi="Arial" w:cs="Arial"/>
          <w:color w:val="000000" w:themeColor="text1"/>
          <w:lang w:val="pt-BR"/>
        </w:rPr>
      </w:pPr>
    </w:p>
    <w:p w14:paraId="68BFF342" w14:textId="26E42A5B" w:rsidR="00126DD6" w:rsidRPr="00B967DF" w:rsidRDefault="00126DD6" w:rsidP="00830289">
      <w:pPr>
        <w:rPr>
          <w:rFonts w:ascii="Arial" w:hAnsi="Arial" w:cs="Arial"/>
          <w:color w:val="000000" w:themeColor="text1"/>
          <w:lang w:val="pt-BR"/>
        </w:rPr>
      </w:pPr>
    </w:p>
    <w:p w14:paraId="1A39B6CF" w14:textId="3326DD32" w:rsidR="00126DD6" w:rsidRPr="00B967DF" w:rsidRDefault="00126DD6" w:rsidP="00830289">
      <w:pPr>
        <w:rPr>
          <w:rFonts w:ascii="Arial" w:hAnsi="Arial" w:cs="Arial"/>
          <w:color w:val="000000" w:themeColor="text1"/>
          <w:lang w:val="pt-BR"/>
        </w:rPr>
      </w:pPr>
    </w:p>
    <w:p w14:paraId="75009144" w14:textId="0F929F2B" w:rsidR="00126DD6" w:rsidRPr="00B967DF" w:rsidRDefault="00126DD6" w:rsidP="00830289">
      <w:pPr>
        <w:rPr>
          <w:rFonts w:ascii="Arial" w:hAnsi="Arial" w:cs="Arial"/>
          <w:color w:val="000000" w:themeColor="text1"/>
          <w:lang w:val="pt-BR"/>
        </w:rPr>
      </w:pPr>
    </w:p>
    <w:p w14:paraId="06F0DF1C" w14:textId="61ABE845" w:rsidR="005B782C" w:rsidRPr="00B967DF" w:rsidRDefault="005B782C" w:rsidP="00830289">
      <w:pPr>
        <w:rPr>
          <w:rFonts w:ascii="Arial" w:hAnsi="Arial" w:cs="Arial"/>
          <w:color w:val="000000" w:themeColor="text1"/>
          <w:lang w:val="pt-BR"/>
        </w:rPr>
      </w:pPr>
    </w:p>
    <w:p w14:paraId="1AFA9AA0" w14:textId="1B0AB3C2" w:rsidR="005B782C" w:rsidRPr="00B967DF" w:rsidRDefault="005B782C" w:rsidP="00830289">
      <w:pPr>
        <w:rPr>
          <w:rFonts w:ascii="Arial" w:hAnsi="Arial" w:cs="Arial"/>
          <w:color w:val="000000" w:themeColor="text1"/>
          <w:lang w:val="pt-BR"/>
        </w:rPr>
      </w:pPr>
    </w:p>
    <w:p w14:paraId="049EE5D5" w14:textId="5EE3D360" w:rsidR="005B782C" w:rsidRPr="00B967DF" w:rsidRDefault="005B782C" w:rsidP="00830289">
      <w:pPr>
        <w:rPr>
          <w:rFonts w:ascii="Arial" w:hAnsi="Arial" w:cs="Arial"/>
          <w:color w:val="000000" w:themeColor="text1"/>
          <w:lang w:val="pt-BR"/>
        </w:rPr>
      </w:pPr>
    </w:p>
    <w:p w14:paraId="6530F026" w14:textId="2179DFB0" w:rsidR="005B782C" w:rsidRPr="00B967DF" w:rsidRDefault="005B782C" w:rsidP="00830289">
      <w:pPr>
        <w:rPr>
          <w:rFonts w:ascii="Arial" w:hAnsi="Arial" w:cs="Arial"/>
          <w:color w:val="000000" w:themeColor="text1"/>
          <w:lang w:val="pt-BR"/>
        </w:rPr>
      </w:pPr>
    </w:p>
    <w:p w14:paraId="5B871C68" w14:textId="6959A7D5" w:rsidR="005B782C" w:rsidRPr="00B967DF" w:rsidRDefault="005B782C" w:rsidP="00830289">
      <w:pPr>
        <w:rPr>
          <w:rFonts w:ascii="Arial" w:hAnsi="Arial" w:cs="Arial"/>
          <w:color w:val="000000" w:themeColor="text1"/>
          <w:lang w:val="pt-BR"/>
        </w:rPr>
      </w:pPr>
    </w:p>
    <w:p w14:paraId="2F887F5B" w14:textId="228A8BE5" w:rsidR="005B782C" w:rsidRPr="00B967DF" w:rsidRDefault="005B782C" w:rsidP="00830289">
      <w:pPr>
        <w:rPr>
          <w:rFonts w:ascii="Arial" w:hAnsi="Arial" w:cs="Arial"/>
          <w:color w:val="000000" w:themeColor="text1"/>
          <w:lang w:val="pt-BR"/>
        </w:rPr>
      </w:pPr>
    </w:p>
    <w:p w14:paraId="38258EC2" w14:textId="13E275A8" w:rsidR="005B782C" w:rsidRPr="00B967DF" w:rsidRDefault="005B782C" w:rsidP="00830289">
      <w:pPr>
        <w:rPr>
          <w:rFonts w:ascii="Arial" w:hAnsi="Arial" w:cs="Arial"/>
          <w:color w:val="000000" w:themeColor="text1"/>
          <w:lang w:val="pt-BR"/>
        </w:rPr>
      </w:pPr>
    </w:p>
    <w:p w14:paraId="71C864F3" w14:textId="77777777" w:rsidR="005B782C" w:rsidRPr="00B967DF" w:rsidRDefault="005B782C" w:rsidP="00830289">
      <w:pPr>
        <w:rPr>
          <w:rFonts w:ascii="Arial" w:hAnsi="Arial" w:cs="Arial"/>
          <w:color w:val="000000" w:themeColor="text1"/>
          <w:lang w:val="pt-BR"/>
        </w:rPr>
      </w:pPr>
    </w:p>
    <w:p w14:paraId="592CD69E" w14:textId="28325E0A" w:rsidR="00126DD6" w:rsidRPr="00B967DF" w:rsidRDefault="00126DD6" w:rsidP="00830289">
      <w:pPr>
        <w:rPr>
          <w:rFonts w:ascii="Arial" w:hAnsi="Arial" w:cs="Arial"/>
          <w:color w:val="000000" w:themeColor="text1"/>
          <w:lang w:val="pt-BR"/>
        </w:rPr>
      </w:pPr>
    </w:p>
    <w:p w14:paraId="2F4E7C07" w14:textId="70F8DC93" w:rsidR="00126DD6" w:rsidRPr="00B967DF" w:rsidRDefault="00126DD6" w:rsidP="00830289">
      <w:pPr>
        <w:rPr>
          <w:rFonts w:ascii="Arial" w:hAnsi="Arial" w:cs="Arial"/>
          <w:color w:val="000000" w:themeColor="text1"/>
          <w:lang w:val="pt-BR"/>
        </w:rPr>
      </w:pPr>
    </w:p>
    <w:p w14:paraId="1632F0E9" w14:textId="0259E644" w:rsidR="00126DD6" w:rsidRPr="00B967DF" w:rsidRDefault="00126DD6" w:rsidP="00830289">
      <w:pPr>
        <w:rPr>
          <w:rFonts w:ascii="Arial" w:hAnsi="Arial" w:cs="Arial"/>
          <w:color w:val="000000" w:themeColor="text1"/>
          <w:lang w:val="pt-BR"/>
        </w:rPr>
      </w:pPr>
    </w:p>
    <w:p w14:paraId="4DE36896" w14:textId="283030F1" w:rsidR="00FC3344" w:rsidRPr="00B967DF" w:rsidRDefault="00FC3344" w:rsidP="00830289">
      <w:pPr>
        <w:rPr>
          <w:rFonts w:ascii="Arial" w:hAnsi="Arial" w:cs="Arial"/>
          <w:color w:val="000000" w:themeColor="text1"/>
          <w:lang w:val="pt-BR"/>
        </w:rPr>
      </w:pPr>
    </w:p>
    <w:p w14:paraId="5BD24DFD" w14:textId="2E06C4D8" w:rsidR="00FC3344" w:rsidRPr="00B967DF" w:rsidRDefault="00FC3344" w:rsidP="00830289">
      <w:pPr>
        <w:rPr>
          <w:rFonts w:ascii="Arial" w:hAnsi="Arial" w:cs="Arial"/>
          <w:color w:val="000000" w:themeColor="text1"/>
          <w:lang w:val="pt-BR"/>
        </w:rPr>
      </w:pPr>
    </w:p>
    <w:p w14:paraId="54BA5574" w14:textId="77777777" w:rsidR="00FC3344" w:rsidRPr="00B967DF" w:rsidRDefault="00FC3344" w:rsidP="00830289">
      <w:pPr>
        <w:rPr>
          <w:rFonts w:ascii="Arial" w:hAnsi="Arial" w:cs="Arial"/>
          <w:color w:val="000000" w:themeColor="text1"/>
          <w:lang w:val="pt-BR"/>
        </w:rPr>
      </w:pPr>
    </w:p>
    <w:p w14:paraId="27703C62" w14:textId="17C93839" w:rsidR="00126DD6" w:rsidRPr="00B967DF" w:rsidRDefault="00126DD6" w:rsidP="00830289">
      <w:pPr>
        <w:rPr>
          <w:rFonts w:ascii="Arial" w:hAnsi="Arial" w:cs="Arial"/>
          <w:color w:val="000000" w:themeColor="text1"/>
          <w:lang w:val="pt-BR"/>
        </w:rPr>
      </w:pPr>
    </w:p>
    <w:p w14:paraId="1D7E942A" w14:textId="1C06BE3E" w:rsidR="00126DD6" w:rsidRPr="00B967DF" w:rsidRDefault="00126DD6" w:rsidP="00830289">
      <w:pPr>
        <w:rPr>
          <w:rFonts w:ascii="Arial" w:hAnsi="Arial" w:cs="Arial"/>
          <w:color w:val="000000" w:themeColor="text1"/>
          <w:lang w:val="pt-BR"/>
        </w:rPr>
      </w:pPr>
    </w:p>
    <w:p w14:paraId="49BCFFBA" w14:textId="77777777" w:rsidR="00126DD6" w:rsidRPr="00B967DF" w:rsidRDefault="00126DD6" w:rsidP="00830289">
      <w:pPr>
        <w:rPr>
          <w:rFonts w:ascii="Arial" w:hAnsi="Arial" w:cs="Arial"/>
          <w:color w:val="000000" w:themeColor="text1"/>
          <w:lang w:val="pt-BR"/>
        </w:rPr>
      </w:pPr>
    </w:p>
    <w:p w14:paraId="069CD159" w14:textId="4917E845" w:rsidR="00126DD6" w:rsidRPr="00B967DF" w:rsidRDefault="00126DD6" w:rsidP="00830289">
      <w:pPr>
        <w:rPr>
          <w:rFonts w:ascii="Arial" w:hAnsi="Arial" w:cs="Arial"/>
          <w:color w:val="000000" w:themeColor="text1"/>
          <w:lang w:val="pt-BR"/>
        </w:rPr>
      </w:pPr>
    </w:p>
    <w:p w14:paraId="7631D9B5" w14:textId="77777777" w:rsidR="00B967DF" w:rsidRDefault="00B967DF" w:rsidP="00830289">
      <w:pPr>
        <w:pStyle w:val="NormalWeb"/>
        <w:spacing w:before="0" w:beforeAutospacing="0" w:after="200" w:afterAutospacing="0"/>
        <w:rPr>
          <w:rStyle w:val="notranslate"/>
          <w:rFonts w:ascii="Arial" w:hAnsi="Arial" w:cs="Arial"/>
          <w:b/>
          <w:bCs/>
          <w:color w:val="000000"/>
        </w:rPr>
      </w:pPr>
    </w:p>
    <w:p w14:paraId="7179F5A1" w14:textId="77777777" w:rsidR="00B967DF" w:rsidRDefault="00B967DF" w:rsidP="00830289">
      <w:pPr>
        <w:pStyle w:val="NormalWeb"/>
        <w:spacing w:before="0" w:beforeAutospacing="0" w:after="200" w:afterAutospacing="0"/>
        <w:rPr>
          <w:rStyle w:val="notranslate"/>
          <w:rFonts w:ascii="Arial" w:hAnsi="Arial" w:cs="Arial"/>
          <w:b/>
          <w:bCs/>
          <w:color w:val="000000"/>
        </w:rPr>
      </w:pPr>
    </w:p>
    <w:p w14:paraId="1D48E59C" w14:textId="3E082D50" w:rsidR="00126DD6" w:rsidRPr="00B967DF" w:rsidRDefault="00126DD6" w:rsidP="00830289">
      <w:pPr>
        <w:pStyle w:val="NormalWeb"/>
        <w:spacing w:before="0" w:beforeAutospacing="0" w:after="200" w:afterAutospacing="0"/>
        <w:rPr>
          <w:rStyle w:val="notranslate"/>
          <w:rFonts w:ascii="Arial" w:hAnsi="Arial" w:cs="Arial"/>
          <w:b/>
          <w:bCs/>
          <w:color w:val="000000"/>
          <w:sz w:val="28"/>
          <w:szCs w:val="28"/>
        </w:rPr>
      </w:pPr>
      <w:r w:rsidRPr="00B967DF">
        <w:rPr>
          <w:rStyle w:val="notranslate"/>
          <w:rFonts w:ascii="Arial" w:hAnsi="Arial" w:cs="Arial"/>
          <w:b/>
          <w:bCs/>
          <w:color w:val="000000"/>
          <w:sz w:val="28"/>
          <w:szCs w:val="28"/>
        </w:rPr>
        <w:lastRenderedPageBreak/>
        <w:t>Introducción</w:t>
      </w:r>
    </w:p>
    <w:p w14:paraId="74992C32" w14:textId="548F1E28" w:rsidR="00126DD6" w:rsidRPr="00B967DF" w:rsidRDefault="00126DD6" w:rsidP="00830289">
      <w:pPr>
        <w:rPr>
          <w:rFonts w:ascii="Arial" w:hAnsi="Arial" w:cs="Arial"/>
          <w:color w:val="222222"/>
          <w:shd w:val="clear" w:color="auto" w:fill="F8F9FA"/>
        </w:rPr>
      </w:pPr>
      <w:r w:rsidRPr="00B967DF">
        <w:rPr>
          <w:rFonts w:ascii="Arial" w:hAnsi="Arial" w:cs="Arial"/>
        </w:rPr>
        <w:br/>
      </w:r>
      <w:r w:rsidR="00203202" w:rsidRPr="00B967DF">
        <w:rPr>
          <w:rFonts w:ascii="Arial" w:hAnsi="Arial" w:cs="Arial"/>
          <w:color w:val="222222"/>
          <w:shd w:val="clear" w:color="auto" w:fill="F8F9FA"/>
        </w:rPr>
        <w:t>Portal Meio &amp; Mensagem</w:t>
      </w:r>
      <w:r w:rsidRPr="00B967DF">
        <w:rPr>
          <w:rFonts w:ascii="Arial" w:hAnsi="Arial" w:cs="Arial"/>
          <w:color w:val="222222"/>
          <w:shd w:val="clear" w:color="auto" w:fill="F8F9FA"/>
        </w:rPr>
        <w:t>, principal vehículo dedicado al mercado de agencias en Brasil publicó en mayo de este año una de las principales noticias relacionadas con las empresas del sector de comunicación:</w:t>
      </w:r>
      <w:r w:rsidRPr="00B967DF">
        <w:rPr>
          <w:rStyle w:val="notranslate"/>
          <w:rFonts w:ascii="Arial" w:hAnsi="Arial" w:cs="Arial"/>
          <w:color w:val="000000"/>
        </w:rPr>
        <w:t xml:space="preserve"> </w:t>
      </w:r>
      <w:hyperlink r:id="rId9" w:history="1">
        <w:r w:rsidRPr="00B967DF">
          <w:rPr>
            <w:rStyle w:val="Hyperlink"/>
            <w:rFonts w:ascii="Arial" w:hAnsi="Arial" w:cs="Arial"/>
            <w:color w:val="000000"/>
          </w:rPr>
          <w:t xml:space="preserve">industria global de Relaciones Públicas </w:t>
        </w:r>
        <w:r w:rsidR="00B967DF">
          <w:rPr>
            <w:rStyle w:val="Hyperlink"/>
            <w:rFonts w:ascii="Arial" w:hAnsi="Arial" w:cs="Arial"/>
            <w:color w:val="000000"/>
          </w:rPr>
          <w:t>ha crescido</w:t>
        </w:r>
        <w:r w:rsidRPr="00B967DF">
          <w:rPr>
            <w:rStyle w:val="Hyperlink"/>
            <w:rFonts w:ascii="Arial" w:hAnsi="Arial" w:cs="Arial"/>
            <w:color w:val="000000"/>
          </w:rPr>
          <w:t xml:space="preserve"> 5% en 2018</w:t>
        </w:r>
      </w:hyperlink>
      <w:r w:rsidRPr="00B967DF">
        <w:rPr>
          <w:rFonts w:ascii="Arial" w:hAnsi="Arial" w:cs="Arial"/>
          <w:color w:val="222222"/>
          <w:shd w:val="clear" w:color="auto" w:fill="F8F9FA"/>
        </w:rPr>
        <w:t xml:space="preserve">, según un informe del Holmes Report. </w:t>
      </w:r>
    </w:p>
    <w:p w14:paraId="17E46F8E" w14:textId="6EAC778E" w:rsidR="005B782C" w:rsidRPr="00B967DF" w:rsidRDefault="005B782C" w:rsidP="00830289">
      <w:pPr>
        <w:rPr>
          <w:rFonts w:ascii="Arial" w:hAnsi="Arial" w:cs="Arial"/>
          <w:color w:val="222222"/>
          <w:shd w:val="clear" w:color="auto" w:fill="F8F9FA"/>
        </w:rPr>
      </w:pPr>
      <w:r w:rsidRPr="00B967DF">
        <w:rPr>
          <w:rFonts w:ascii="Arial" w:hAnsi="Arial" w:cs="Arial"/>
        </w:rPr>
        <w:br/>
      </w:r>
      <w:r w:rsidRPr="00B967DF">
        <w:rPr>
          <w:rFonts w:ascii="Arial" w:hAnsi="Arial" w:cs="Arial"/>
          <w:color w:val="222222"/>
          <w:shd w:val="clear" w:color="auto" w:fill="F8F9FA"/>
        </w:rPr>
        <w:t>En el análisis, se mostraron los resultados financieros de más de 400 empresas del sector en el mundo, una línea llama la atención: de las 250 mayores en el mundo, 5 son compañías brasileñas. Además, de las primeras colocadas, todas tienen oficinas en Brasil.</w:t>
      </w:r>
    </w:p>
    <w:p w14:paraId="69737A05" w14:textId="77777777" w:rsidR="005B782C" w:rsidRPr="00B967DF" w:rsidRDefault="005B782C" w:rsidP="00830289">
      <w:pPr>
        <w:rPr>
          <w:rFonts w:ascii="Arial" w:hAnsi="Arial" w:cs="Arial"/>
        </w:rPr>
      </w:pPr>
    </w:p>
    <w:p w14:paraId="69B8F36D" w14:textId="77777777" w:rsidR="005B782C" w:rsidRPr="00B967DF" w:rsidRDefault="005B782C" w:rsidP="00830289">
      <w:pPr>
        <w:rPr>
          <w:rFonts w:ascii="Arial" w:hAnsi="Arial" w:cs="Arial"/>
          <w:color w:val="222222"/>
          <w:shd w:val="clear" w:color="auto" w:fill="F8F9FA"/>
        </w:rPr>
      </w:pPr>
      <w:r w:rsidRPr="00B967DF">
        <w:rPr>
          <w:rFonts w:ascii="Arial" w:hAnsi="Arial" w:cs="Arial"/>
          <w:color w:val="222222"/>
          <w:shd w:val="clear" w:color="auto" w:fill="F8F9FA"/>
        </w:rPr>
        <w:t xml:space="preserve">Es un ejemplo de la fuerza y ​​representatividad creciente del mercado de agencias brasileñas, extremadamente atractivo para compañías extranjeras, como LLYC. </w:t>
      </w:r>
    </w:p>
    <w:p w14:paraId="29F27770" w14:textId="77777777" w:rsidR="005B782C" w:rsidRPr="00B967DF" w:rsidRDefault="005B782C" w:rsidP="00830289">
      <w:pPr>
        <w:rPr>
          <w:rFonts w:ascii="Arial" w:hAnsi="Arial" w:cs="Arial"/>
          <w:color w:val="222222"/>
          <w:shd w:val="clear" w:color="auto" w:fill="F8F9FA"/>
        </w:rPr>
      </w:pPr>
    </w:p>
    <w:p w14:paraId="75E2B50B" w14:textId="5CCCDE5A" w:rsidR="005B782C" w:rsidRPr="00B967DF" w:rsidRDefault="005B782C" w:rsidP="00830289">
      <w:pPr>
        <w:rPr>
          <w:rFonts w:ascii="Arial" w:hAnsi="Arial" w:cs="Arial"/>
          <w:color w:val="222222"/>
          <w:shd w:val="clear" w:color="auto" w:fill="F8F9FA"/>
        </w:rPr>
      </w:pPr>
      <w:r w:rsidRPr="00B967DF">
        <w:rPr>
          <w:rFonts w:ascii="Arial" w:hAnsi="Arial" w:cs="Arial"/>
          <w:color w:val="222222"/>
          <w:shd w:val="clear" w:color="auto" w:fill="F8F9FA"/>
        </w:rPr>
        <w:t xml:space="preserve">La consultora de comunicación española, líder en su país y en los países de América Latina, ya se posiciona en su país natal </w:t>
      </w:r>
      <w:r w:rsidRPr="00B967DF">
        <w:rPr>
          <w:rStyle w:val="notranslate"/>
          <w:rFonts w:ascii="Arial" w:hAnsi="Arial" w:cs="Arial"/>
          <w:color w:val="000000"/>
        </w:rPr>
        <w:t>como una de las </w:t>
      </w:r>
      <w:hyperlink r:id="rId10" w:history="1">
        <w:r w:rsidRPr="00B967DF">
          <w:rPr>
            <w:rStyle w:val="Hyperlink"/>
            <w:rFonts w:ascii="Arial" w:hAnsi="Arial" w:cs="Arial"/>
            <w:color w:val="000000"/>
          </w:rPr>
          <w:t>5 empresas en el área de consultoría con mejor reputación</w:t>
        </w:r>
      </w:hyperlink>
      <w:r w:rsidRPr="00B967DF">
        <w:rPr>
          <w:rFonts w:ascii="Arial" w:hAnsi="Arial" w:cs="Arial"/>
          <w:color w:val="222222"/>
          <w:shd w:val="clear" w:color="auto" w:fill="F8F9FA"/>
        </w:rPr>
        <w:t>, junto a nombres como Accenture, Indra, Mckinsey y Everis, según el Raniking Merco.</w:t>
      </w:r>
    </w:p>
    <w:p w14:paraId="764DEACD" w14:textId="4A7B5B3F" w:rsidR="005B782C" w:rsidRPr="00B967DF" w:rsidRDefault="005B782C" w:rsidP="00830289">
      <w:pPr>
        <w:rPr>
          <w:rFonts w:ascii="Arial" w:hAnsi="Arial" w:cs="Arial"/>
          <w:color w:val="222222"/>
          <w:shd w:val="clear" w:color="auto" w:fill="F8F9FA"/>
        </w:rPr>
      </w:pPr>
    </w:p>
    <w:p w14:paraId="74745926" w14:textId="77777777" w:rsidR="00611C88" w:rsidRPr="00B967DF" w:rsidRDefault="005B782C" w:rsidP="00830289">
      <w:pPr>
        <w:rPr>
          <w:rFonts w:ascii="Arial" w:hAnsi="Arial" w:cs="Arial"/>
          <w:color w:val="222222"/>
          <w:shd w:val="clear" w:color="auto" w:fill="F8F9FA"/>
        </w:rPr>
      </w:pPr>
      <w:r w:rsidRPr="00B967DF">
        <w:rPr>
          <w:rFonts w:ascii="Arial" w:hAnsi="Arial" w:cs="Arial"/>
          <w:color w:val="222222"/>
          <w:shd w:val="clear" w:color="auto" w:fill="F8F9FA"/>
        </w:rPr>
        <w:t xml:space="preserve">En Brasil, LLYC ya cuenta con más de 10 años de </w:t>
      </w:r>
      <w:r w:rsidR="00611C88" w:rsidRPr="00B967DF">
        <w:rPr>
          <w:rFonts w:ascii="Arial" w:hAnsi="Arial" w:cs="Arial"/>
          <w:color w:val="222222"/>
          <w:shd w:val="clear" w:color="auto" w:fill="F8F9FA"/>
        </w:rPr>
        <w:t>experiencia</w:t>
      </w:r>
      <w:r w:rsidRPr="00B967DF">
        <w:rPr>
          <w:rFonts w:ascii="Arial" w:hAnsi="Arial" w:cs="Arial"/>
          <w:color w:val="222222"/>
          <w:shd w:val="clear" w:color="auto" w:fill="F8F9FA"/>
        </w:rPr>
        <w:t>, primero en Río de Janeiro y</w:t>
      </w:r>
      <w:r w:rsidR="00611C88" w:rsidRPr="00B967DF">
        <w:rPr>
          <w:rFonts w:ascii="Arial" w:hAnsi="Arial" w:cs="Arial"/>
          <w:color w:val="222222"/>
          <w:shd w:val="clear" w:color="auto" w:fill="F8F9FA"/>
        </w:rPr>
        <w:t xml:space="preserve"> </w:t>
      </w:r>
      <w:r w:rsidRPr="00B967DF">
        <w:rPr>
          <w:rFonts w:ascii="Arial" w:hAnsi="Arial" w:cs="Arial"/>
          <w:color w:val="222222"/>
          <w:shd w:val="clear" w:color="auto" w:fill="F8F9FA"/>
        </w:rPr>
        <w:t>posteriormente en São Paulo, hoy sede de su operación en suelo nacional.</w:t>
      </w:r>
    </w:p>
    <w:p w14:paraId="094FC943" w14:textId="38D8E921" w:rsidR="00611C88" w:rsidRPr="00B967DF" w:rsidRDefault="005B782C" w:rsidP="00830289">
      <w:pPr>
        <w:rPr>
          <w:rFonts w:ascii="Arial" w:hAnsi="Arial" w:cs="Arial"/>
          <w:color w:val="222222"/>
          <w:shd w:val="clear" w:color="auto" w:fill="F8F9FA"/>
        </w:rPr>
      </w:pPr>
      <w:r w:rsidRPr="00B967DF">
        <w:rPr>
          <w:rFonts w:ascii="Arial" w:hAnsi="Arial" w:cs="Arial"/>
          <w:color w:val="222222"/>
          <w:shd w:val="clear" w:color="auto" w:fill="F8F9FA"/>
        </w:rPr>
        <w:t>En su trayectoria, la empresa registra una fusión, con la S / A Comunicación, y una cartera de clientes relevantes, como Volvo Cars, Emirates, Latam Airlines, Oracle, Biogen, Grupo CCR, entre otros.</w:t>
      </w:r>
    </w:p>
    <w:p w14:paraId="3F82606E" w14:textId="77777777" w:rsidR="00611C88" w:rsidRPr="00B967DF" w:rsidRDefault="00611C88" w:rsidP="00830289">
      <w:pPr>
        <w:rPr>
          <w:rStyle w:val="notranslate"/>
          <w:rFonts w:ascii="Arial" w:hAnsi="Arial" w:cs="Arial"/>
          <w:color w:val="222222"/>
          <w:shd w:val="clear" w:color="auto" w:fill="F8F9FA"/>
        </w:rPr>
      </w:pPr>
    </w:p>
    <w:p w14:paraId="3D467EA9" w14:textId="77777777" w:rsidR="00611C88" w:rsidRPr="00B967DF" w:rsidRDefault="00611C88" w:rsidP="00830289">
      <w:pPr>
        <w:pStyle w:val="NormalWeb"/>
        <w:spacing w:before="0" w:beforeAutospacing="0" w:after="200" w:afterAutospacing="0"/>
        <w:rPr>
          <w:rStyle w:val="notranslate"/>
          <w:rFonts w:ascii="Arial" w:hAnsi="Arial" w:cs="Arial"/>
          <w:color w:val="000000"/>
        </w:rPr>
      </w:pPr>
      <w:r w:rsidRPr="00B967DF">
        <w:rPr>
          <w:rStyle w:val="notranslate"/>
          <w:rFonts w:ascii="Arial" w:hAnsi="Arial" w:cs="Arial"/>
          <w:color w:val="000000"/>
        </w:rPr>
        <w:t xml:space="preserve">Incluso después de un crecimiento sustancial, partiendo de 20 personas trabajando en la operación en 2014, a 75 en 2019, LLYC se enfrenta a un desafío enorme para posicionarse como uno de los líderes en el sector en Brasil. Aun con ese desafío LLYC muestra que sigue en una dirección sólida. </w:t>
      </w:r>
    </w:p>
    <w:p w14:paraId="3EAD8585" w14:textId="77777777" w:rsidR="008F3FB0" w:rsidRPr="00B967DF" w:rsidRDefault="008F3FB0" w:rsidP="00830289">
      <w:pPr>
        <w:spacing w:after="200"/>
        <w:rPr>
          <w:rFonts w:ascii="Arial" w:hAnsi="Arial" w:cs="Arial"/>
          <w:color w:val="000000"/>
        </w:rPr>
      </w:pPr>
      <w:r w:rsidRPr="00B967DF">
        <w:rPr>
          <w:rFonts w:ascii="Arial" w:hAnsi="Arial" w:cs="Arial"/>
          <w:color w:val="000000"/>
        </w:rPr>
        <w:t>Este análisis no se dedica a hablar sólo de la empresa, sino que la utiliza como uno de los actores de un sector que registró crecimiento del 14,8% de 2017 a 2018 en Brasil, y tiene características únicas, detalladas aquí por medio de un estudio basado en el Modelo de 5 Fuerzas de Porter</w:t>
      </w:r>
    </w:p>
    <w:p w14:paraId="6DA066FD" w14:textId="15642A0A" w:rsidR="008F3FB0" w:rsidRPr="00B967DF" w:rsidRDefault="008F3FB0" w:rsidP="00830289">
      <w:pPr>
        <w:spacing w:after="200"/>
        <w:rPr>
          <w:rFonts w:ascii="Arial" w:hAnsi="Arial" w:cs="Arial"/>
          <w:color w:val="000000"/>
        </w:rPr>
      </w:pPr>
      <w:r w:rsidRPr="00B967DF">
        <w:rPr>
          <w:rFonts w:ascii="Arial" w:hAnsi="Arial" w:cs="Arial"/>
          <w:color w:val="000000"/>
        </w:rPr>
        <w:t>De esta forma, analizaremos:</w:t>
      </w:r>
    </w:p>
    <w:p w14:paraId="42AF865C" w14:textId="3206904D" w:rsidR="00B638A6" w:rsidRPr="00B967DF" w:rsidRDefault="00B638A6" w:rsidP="00830289">
      <w:pPr>
        <w:numPr>
          <w:ilvl w:val="0"/>
          <w:numId w:val="29"/>
        </w:numPr>
        <w:spacing w:line="276" w:lineRule="atLeast"/>
        <w:ind w:left="527" w:firstLine="0"/>
        <w:rPr>
          <w:rFonts w:ascii="Arial" w:hAnsi="Arial" w:cs="Arial"/>
          <w:color w:val="000000"/>
        </w:rPr>
      </w:pPr>
      <w:r w:rsidRPr="00B967DF">
        <w:rPr>
          <w:rFonts w:ascii="Arial" w:hAnsi="Arial" w:cs="Arial"/>
          <w:color w:val="000000"/>
        </w:rPr>
        <w:t>La intensidad de la competencia y cómo está posicionada</w:t>
      </w:r>
    </w:p>
    <w:p w14:paraId="4AEB941C" w14:textId="77777777" w:rsidR="00B638A6" w:rsidRPr="00B967DF" w:rsidRDefault="00B638A6" w:rsidP="00830289">
      <w:pPr>
        <w:numPr>
          <w:ilvl w:val="0"/>
          <w:numId w:val="29"/>
        </w:numPr>
        <w:spacing w:line="276" w:lineRule="atLeast"/>
        <w:ind w:left="527" w:firstLine="0"/>
        <w:rPr>
          <w:rFonts w:ascii="Arial" w:hAnsi="Arial" w:cs="Arial"/>
          <w:color w:val="000000"/>
        </w:rPr>
      </w:pPr>
      <w:r w:rsidRPr="00B967DF">
        <w:rPr>
          <w:rFonts w:ascii="Arial" w:hAnsi="Arial" w:cs="Arial"/>
          <w:color w:val="000000"/>
        </w:rPr>
        <w:t>Los competidores potenciales (barreras de entrada)</w:t>
      </w:r>
    </w:p>
    <w:p w14:paraId="0E5D2566" w14:textId="77777777" w:rsidR="00B638A6" w:rsidRPr="00B967DF" w:rsidRDefault="00B638A6" w:rsidP="00830289">
      <w:pPr>
        <w:numPr>
          <w:ilvl w:val="0"/>
          <w:numId w:val="29"/>
        </w:numPr>
        <w:spacing w:line="276" w:lineRule="atLeast"/>
        <w:ind w:left="527" w:firstLine="0"/>
        <w:rPr>
          <w:rFonts w:ascii="Arial" w:hAnsi="Arial" w:cs="Arial"/>
          <w:color w:val="000000"/>
        </w:rPr>
      </w:pPr>
      <w:r w:rsidRPr="00B967DF">
        <w:rPr>
          <w:rFonts w:ascii="Arial" w:hAnsi="Arial" w:cs="Arial"/>
          <w:color w:val="000000"/>
        </w:rPr>
        <w:t>Los productos / servicios sustitutivos.</w:t>
      </w:r>
    </w:p>
    <w:p w14:paraId="148AB379" w14:textId="77777777" w:rsidR="00B638A6" w:rsidRPr="00B967DF" w:rsidRDefault="00B638A6" w:rsidP="00830289">
      <w:pPr>
        <w:numPr>
          <w:ilvl w:val="0"/>
          <w:numId w:val="29"/>
        </w:numPr>
        <w:spacing w:line="276" w:lineRule="atLeast"/>
        <w:ind w:left="527" w:firstLine="0"/>
        <w:rPr>
          <w:rFonts w:ascii="Arial" w:hAnsi="Arial" w:cs="Arial"/>
          <w:color w:val="000000"/>
        </w:rPr>
      </w:pPr>
      <w:r w:rsidRPr="00B967DF">
        <w:rPr>
          <w:rFonts w:ascii="Arial" w:hAnsi="Arial" w:cs="Arial"/>
          <w:color w:val="000000"/>
        </w:rPr>
        <w:t>El poder negociador de clientes (y canales de distribución sí los hay)</w:t>
      </w:r>
    </w:p>
    <w:p w14:paraId="1C64D369" w14:textId="1FF61DBA" w:rsidR="00B638A6" w:rsidRPr="00B967DF" w:rsidRDefault="00B638A6" w:rsidP="00830289">
      <w:pPr>
        <w:numPr>
          <w:ilvl w:val="0"/>
          <w:numId w:val="29"/>
        </w:numPr>
        <w:spacing w:line="276" w:lineRule="atLeast"/>
        <w:ind w:left="527" w:firstLine="0"/>
        <w:rPr>
          <w:rFonts w:ascii="Arial" w:hAnsi="Arial" w:cs="Arial"/>
          <w:color w:val="000000"/>
        </w:rPr>
      </w:pPr>
      <w:r w:rsidRPr="00B967DF">
        <w:rPr>
          <w:rFonts w:ascii="Arial" w:hAnsi="Arial" w:cs="Arial"/>
          <w:color w:val="000000"/>
        </w:rPr>
        <w:t xml:space="preserve">El poder negociador de proveedores. </w:t>
      </w:r>
    </w:p>
    <w:p w14:paraId="3FDF300D" w14:textId="77777777" w:rsidR="00B638A6" w:rsidRPr="00B967DF" w:rsidRDefault="00B638A6" w:rsidP="00830289">
      <w:pPr>
        <w:spacing w:line="276" w:lineRule="atLeast"/>
        <w:rPr>
          <w:rFonts w:ascii="Arial" w:hAnsi="Arial" w:cs="Arial"/>
          <w:color w:val="000000"/>
        </w:rPr>
      </w:pPr>
    </w:p>
    <w:p w14:paraId="2A22D804" w14:textId="77777777" w:rsidR="008F3FB0" w:rsidRPr="00B967DF" w:rsidRDefault="008F3FB0" w:rsidP="00830289">
      <w:pPr>
        <w:spacing w:after="200" w:line="276" w:lineRule="atLeast"/>
        <w:rPr>
          <w:rFonts w:ascii="Arial" w:hAnsi="Arial" w:cs="Arial"/>
          <w:color w:val="000000"/>
        </w:rPr>
      </w:pPr>
      <w:r w:rsidRPr="00B967DF">
        <w:rPr>
          <w:rFonts w:ascii="Arial" w:hAnsi="Arial" w:cs="Arial"/>
          <w:color w:val="000000"/>
        </w:rPr>
        <w:t>Y otras fuerzas complementarias al Modelo de Porter, como:</w:t>
      </w:r>
    </w:p>
    <w:p w14:paraId="15C5D2A5" w14:textId="0943019D" w:rsidR="008F3FB0" w:rsidRPr="00B967DF" w:rsidRDefault="00B638A6" w:rsidP="00830289">
      <w:pPr>
        <w:numPr>
          <w:ilvl w:val="0"/>
          <w:numId w:val="30"/>
        </w:numPr>
        <w:spacing w:line="276" w:lineRule="atLeast"/>
        <w:ind w:left="527" w:firstLine="0"/>
        <w:rPr>
          <w:rFonts w:ascii="Arial" w:hAnsi="Arial" w:cs="Arial"/>
          <w:color w:val="000000"/>
        </w:rPr>
      </w:pPr>
      <w:r w:rsidRPr="00B967DF">
        <w:rPr>
          <w:rFonts w:ascii="Arial" w:hAnsi="Arial" w:cs="Arial"/>
          <w:color w:val="000000"/>
        </w:rPr>
        <w:t>La D</w:t>
      </w:r>
      <w:r w:rsidR="008F3FB0" w:rsidRPr="00B967DF">
        <w:rPr>
          <w:rFonts w:ascii="Arial" w:hAnsi="Arial" w:cs="Arial"/>
          <w:color w:val="000000"/>
        </w:rPr>
        <w:t>igitalización</w:t>
      </w:r>
    </w:p>
    <w:p w14:paraId="051758DD" w14:textId="79FBA610" w:rsidR="00B638A6" w:rsidRPr="00B967DF" w:rsidRDefault="008F3FB0" w:rsidP="00830289">
      <w:pPr>
        <w:numPr>
          <w:ilvl w:val="0"/>
          <w:numId w:val="30"/>
        </w:numPr>
        <w:spacing w:after="200" w:line="276" w:lineRule="atLeast"/>
        <w:ind w:left="527" w:firstLine="0"/>
        <w:rPr>
          <w:rFonts w:ascii="Arial" w:hAnsi="Arial" w:cs="Arial"/>
          <w:color w:val="000000"/>
        </w:rPr>
      </w:pPr>
      <w:r w:rsidRPr="00B967DF">
        <w:rPr>
          <w:rFonts w:ascii="Arial" w:hAnsi="Arial" w:cs="Arial"/>
          <w:color w:val="000000"/>
        </w:rPr>
        <w:lastRenderedPageBreak/>
        <w:t xml:space="preserve">La </w:t>
      </w:r>
      <w:r w:rsidR="00B638A6" w:rsidRPr="00B967DF">
        <w:rPr>
          <w:rFonts w:ascii="Arial" w:hAnsi="Arial" w:cs="Arial"/>
          <w:color w:val="000000"/>
        </w:rPr>
        <w:t>G</w:t>
      </w:r>
      <w:r w:rsidRPr="00B967DF">
        <w:rPr>
          <w:rFonts w:ascii="Arial" w:hAnsi="Arial" w:cs="Arial"/>
          <w:color w:val="000000"/>
        </w:rPr>
        <w:t>lobalización</w:t>
      </w:r>
    </w:p>
    <w:p w14:paraId="29F05D39" w14:textId="77777777" w:rsidR="00B638A6" w:rsidRPr="00B967DF" w:rsidRDefault="00B638A6" w:rsidP="00830289">
      <w:pPr>
        <w:spacing w:after="200" w:line="276" w:lineRule="atLeast"/>
        <w:rPr>
          <w:rFonts w:ascii="Arial" w:hAnsi="Arial" w:cs="Arial"/>
          <w:color w:val="000000"/>
        </w:rPr>
      </w:pPr>
    </w:p>
    <w:p w14:paraId="2BA4CD90" w14:textId="77777777" w:rsidR="00B638A6" w:rsidRPr="00B967DF" w:rsidRDefault="00B638A6" w:rsidP="00830289">
      <w:pPr>
        <w:pStyle w:val="NormalWeb"/>
        <w:spacing w:before="0" w:beforeAutospacing="0" w:after="200" w:afterAutospacing="0" w:line="322" w:lineRule="atLeast"/>
        <w:rPr>
          <w:rFonts w:ascii="Arial" w:hAnsi="Arial" w:cs="Arial"/>
          <w:color w:val="000000"/>
          <w:sz w:val="28"/>
          <w:szCs w:val="28"/>
        </w:rPr>
      </w:pPr>
      <w:r w:rsidRPr="00B967DF">
        <w:rPr>
          <w:rStyle w:val="notranslate"/>
          <w:rFonts w:ascii="Arial" w:hAnsi="Arial" w:cs="Arial"/>
          <w:b/>
          <w:bCs/>
          <w:color w:val="000000"/>
          <w:sz w:val="28"/>
          <w:szCs w:val="28"/>
        </w:rPr>
        <w:t>Un sector en crecimiento</w:t>
      </w:r>
    </w:p>
    <w:p w14:paraId="6C6EDBE9" w14:textId="1EE9DA4B" w:rsidR="00B638A6" w:rsidRPr="00B967DF" w:rsidRDefault="00B638A6" w:rsidP="00830289">
      <w:pPr>
        <w:pStyle w:val="NormalWeb"/>
        <w:spacing w:before="0" w:beforeAutospacing="0" w:after="200" w:afterAutospacing="0" w:line="276" w:lineRule="atLeast"/>
        <w:rPr>
          <w:rFonts w:ascii="Arial" w:hAnsi="Arial" w:cs="Arial"/>
          <w:b/>
          <w:color w:val="000000"/>
        </w:rPr>
      </w:pPr>
      <w:r w:rsidRPr="00B967DF">
        <w:rPr>
          <w:rStyle w:val="notranslate"/>
          <w:rFonts w:ascii="Arial" w:hAnsi="Arial" w:cs="Arial"/>
          <w:color w:val="000000"/>
        </w:rPr>
        <w:t>En una encuesta publicada en mayo de 2019, el anuario de comunicaciones corporativas, Mega Brasil, </w:t>
      </w:r>
      <w:r w:rsidR="008C091B" w:rsidRPr="00B967DF">
        <w:rPr>
          <w:rStyle w:val="notranslate"/>
          <w:rFonts w:ascii="Arial" w:hAnsi="Arial" w:cs="Arial"/>
          <w:color w:val="000000"/>
        </w:rPr>
        <w:t>la p</w:t>
      </w:r>
      <w:r w:rsidRPr="00B967DF">
        <w:rPr>
          <w:rStyle w:val="notranslate"/>
          <w:rFonts w:ascii="Arial" w:hAnsi="Arial" w:cs="Arial"/>
          <w:color w:val="000000"/>
        </w:rPr>
        <w:t xml:space="preserve">rincipal entidad relacionada con la medición del rendimiento financiero de las agencias y la industria de relaciones públicas / comunicaciones corporativas en el país, muestra que el sector creció casi un </w:t>
      </w:r>
      <w:r w:rsidRPr="00B967DF">
        <w:rPr>
          <w:rStyle w:val="notranslate"/>
          <w:rFonts w:ascii="Arial" w:hAnsi="Arial" w:cs="Arial"/>
          <w:b/>
          <w:color w:val="000000"/>
        </w:rPr>
        <w:t>15% en 2018 en comparación con el 2017.</w:t>
      </w:r>
    </w:p>
    <w:p w14:paraId="73F7683C" w14:textId="7454745C" w:rsidR="00B638A6" w:rsidRPr="00B967DF" w:rsidRDefault="00B638A6" w:rsidP="00830289">
      <w:pPr>
        <w:pStyle w:val="NormalWeb"/>
        <w:spacing w:before="0" w:beforeAutospacing="0" w:after="200" w:afterAutospacing="0" w:line="276" w:lineRule="atLeast"/>
        <w:rPr>
          <w:rFonts w:ascii="Arial" w:hAnsi="Arial" w:cs="Arial"/>
          <w:color w:val="000000"/>
        </w:rPr>
      </w:pPr>
      <w:r w:rsidRPr="00B967DF">
        <w:rPr>
          <w:rStyle w:val="notranslate"/>
          <w:rFonts w:ascii="Arial" w:hAnsi="Arial" w:cs="Arial"/>
          <w:color w:val="000000"/>
        </w:rPr>
        <w:t>Después de tres años sin crecimiento significativo, </w:t>
      </w:r>
      <w:r w:rsidR="008C091B" w:rsidRPr="00B967DF">
        <w:rPr>
          <w:rStyle w:val="notranslate"/>
          <w:rFonts w:ascii="Arial" w:hAnsi="Arial" w:cs="Arial"/>
          <w:color w:val="000000"/>
        </w:rPr>
        <w:t>permaneciendo</w:t>
      </w:r>
      <w:r w:rsidRPr="00B967DF">
        <w:rPr>
          <w:rStyle w:val="notranslate"/>
          <w:rFonts w:ascii="Arial" w:hAnsi="Arial" w:cs="Arial"/>
          <w:color w:val="000000"/>
        </w:rPr>
        <w:t xml:space="preserve"> en la gama de R$ 2,5 mil millones en ventas, el mercado registró un salto </w:t>
      </w:r>
      <w:r w:rsidR="008C091B" w:rsidRPr="00B967DF">
        <w:rPr>
          <w:rStyle w:val="notranslate"/>
          <w:rFonts w:ascii="Arial" w:hAnsi="Arial" w:cs="Arial"/>
          <w:color w:val="000000"/>
        </w:rPr>
        <w:t xml:space="preserve">de </w:t>
      </w:r>
      <w:r w:rsidRPr="00B967DF">
        <w:rPr>
          <w:rStyle w:val="notranslate"/>
          <w:rFonts w:ascii="Arial" w:hAnsi="Arial" w:cs="Arial"/>
          <w:color w:val="000000"/>
        </w:rPr>
        <w:t>R$ 2,87 billones</w:t>
      </w:r>
      <w:r w:rsidRPr="00B967DF">
        <w:rPr>
          <w:rFonts w:ascii="Arial" w:hAnsi="Arial" w:cs="Arial"/>
          <w:color w:val="000000"/>
        </w:rPr>
        <w:t> </w:t>
      </w:r>
      <w:r w:rsidR="008C091B" w:rsidRPr="00B967DF">
        <w:rPr>
          <w:rStyle w:val="notranslate"/>
          <w:rFonts w:ascii="Arial" w:hAnsi="Arial" w:cs="Arial"/>
          <w:color w:val="000000"/>
        </w:rPr>
        <w:t>el</w:t>
      </w:r>
      <w:r w:rsidRPr="00B967DF">
        <w:rPr>
          <w:rStyle w:val="notranslate"/>
          <w:rFonts w:ascii="Arial" w:hAnsi="Arial" w:cs="Arial"/>
          <w:color w:val="000000"/>
        </w:rPr>
        <w:t> 2018, un avance significativo del escenario económico adverso y fuerte agitación política.</w:t>
      </w:r>
    </w:p>
    <w:p w14:paraId="37DC9EE8" w14:textId="2A261CA7" w:rsidR="00F85FBD" w:rsidRPr="00B967DF" w:rsidRDefault="00B638A6" w:rsidP="00830289">
      <w:pPr>
        <w:pStyle w:val="NormalWeb"/>
        <w:spacing w:before="0" w:beforeAutospacing="0" w:after="200" w:afterAutospacing="0" w:line="276" w:lineRule="atLeast"/>
        <w:rPr>
          <w:rFonts w:ascii="Arial" w:hAnsi="Arial" w:cs="Arial"/>
          <w:color w:val="000000"/>
        </w:rPr>
      </w:pPr>
      <w:r w:rsidRPr="00B967DF">
        <w:rPr>
          <w:rStyle w:val="notranslate"/>
          <w:rFonts w:ascii="Arial" w:hAnsi="Arial" w:cs="Arial"/>
          <w:color w:val="000000"/>
        </w:rPr>
        <w:t xml:space="preserve">Es esencial </w:t>
      </w:r>
      <w:r w:rsidR="008C091B" w:rsidRPr="00B967DF">
        <w:rPr>
          <w:rStyle w:val="notranslate"/>
          <w:rFonts w:ascii="Arial" w:hAnsi="Arial" w:cs="Arial"/>
          <w:color w:val="000000"/>
        </w:rPr>
        <w:t>destacar</w:t>
      </w:r>
      <w:r w:rsidRPr="00B967DF">
        <w:rPr>
          <w:rStyle w:val="notranslate"/>
          <w:rFonts w:ascii="Arial" w:hAnsi="Arial" w:cs="Arial"/>
          <w:color w:val="000000"/>
        </w:rPr>
        <w:t xml:space="preserve"> que Brasil salió técnicamente de una recesión en 2017, cuando registró un tímido crecimiento del PIB (+ 1,1%), índice repetido en 2018. Por eso, la buena noticia citada en el párrafo anterior se aplica, en su mayoría, a las grandes empresas.</w:t>
      </w:r>
      <w:r w:rsidRPr="00B967DF">
        <w:rPr>
          <w:rFonts w:ascii="Arial" w:hAnsi="Arial" w:cs="Arial"/>
          <w:color w:val="000000"/>
        </w:rPr>
        <w:t> </w:t>
      </w:r>
      <w:r w:rsidRPr="00B967DF">
        <w:rPr>
          <w:rStyle w:val="notranslate"/>
          <w:rFonts w:ascii="Arial" w:hAnsi="Arial" w:cs="Arial"/>
          <w:color w:val="000000"/>
        </w:rPr>
        <w:t>Del total, el 25% de las agencias no creció nada el año pasado y registró caída de 18,9% en las ventas.</w:t>
      </w:r>
    </w:p>
    <w:p w14:paraId="304C9E8A" w14:textId="25C8F9DB" w:rsidR="00F85FBD" w:rsidRPr="00B967DF" w:rsidRDefault="008C091B" w:rsidP="00830289">
      <w:pPr>
        <w:pStyle w:val="NormalWeb"/>
        <w:spacing w:before="0" w:beforeAutospacing="0" w:after="200" w:afterAutospacing="0" w:line="276" w:lineRule="atLeast"/>
        <w:rPr>
          <w:rStyle w:val="notranslate"/>
          <w:rFonts w:ascii="Arial" w:hAnsi="Arial" w:cs="Arial"/>
          <w:color w:val="000000"/>
        </w:rPr>
      </w:pPr>
      <w:r w:rsidRPr="00B967DF">
        <w:rPr>
          <w:rStyle w:val="notranslate"/>
          <w:rFonts w:ascii="Arial" w:hAnsi="Arial" w:cs="Arial"/>
          <w:color w:val="000000"/>
        </w:rPr>
        <w:t xml:space="preserve">Las agencias y consultoras de comunicación son compañías de servicios profesionales, responsables de la gestión de la relación con stakeholders, media training, gestión de crisis, comunicación digital, asuntos públicos, entre otros. Hoy, son 1.491 empresas de pequeño, mediano y gran porte dedicadas a esos frentes de trabajo, esparcidas por todo el territorio nacional. Casi 900 de ellas están en São Paulo, estado con principal desempeño financiero. </w:t>
      </w:r>
    </w:p>
    <w:p w14:paraId="25D208D8" w14:textId="21681078" w:rsidR="008C091B" w:rsidRPr="00B967DF" w:rsidRDefault="008C091B" w:rsidP="00830289">
      <w:pPr>
        <w:pStyle w:val="NormalWeb"/>
        <w:spacing w:before="0" w:beforeAutospacing="0" w:after="200" w:afterAutospacing="0" w:line="276" w:lineRule="atLeast"/>
        <w:rPr>
          <w:rFonts w:ascii="Arial" w:hAnsi="Arial" w:cs="Arial"/>
          <w:color w:val="000000"/>
        </w:rPr>
      </w:pPr>
      <w:r w:rsidRPr="00B967DF">
        <w:rPr>
          <w:rStyle w:val="notranslate"/>
          <w:rFonts w:ascii="Arial" w:hAnsi="Arial" w:cs="Arial"/>
          <w:color w:val="000000"/>
        </w:rPr>
        <w:t>En el ranking de las 20 primeras, por facturación, figuran empresas nacionales y extranjeras, siendo la líder-por la 8ª vez consecutiva, la FSB Comunicación, con un resultado de R $ 243 millones en 2018, casi R $ 30 millones más que en 2017 LLYC está ubicada en la posición 18, con una facturación anual de R $ 18 millones, según el anuario. Otro factor importante: sólo 20 agencias facturan más de R $ 15 millones al año. La misma FSB es quien posee el mayor número de profesionales trabajando - 600 en total, casi 60 colaboradores más que el Grupo In Press, que está en la 2ª posición.</w:t>
      </w:r>
    </w:p>
    <w:p w14:paraId="7636C13F" w14:textId="2558A1C0" w:rsidR="00FC3344" w:rsidRPr="00B967DF" w:rsidRDefault="00F85FBD" w:rsidP="00830289">
      <w:pPr>
        <w:pStyle w:val="NormalWeb"/>
        <w:spacing w:before="0" w:beforeAutospacing="0" w:after="200" w:afterAutospacing="0" w:line="276" w:lineRule="atLeast"/>
        <w:rPr>
          <w:rFonts w:ascii="Arial" w:hAnsi="Arial" w:cs="Arial"/>
          <w:color w:val="000000"/>
        </w:rPr>
      </w:pPr>
      <w:r w:rsidRPr="00B967DF">
        <w:rPr>
          <w:rStyle w:val="notranslate"/>
          <w:rFonts w:ascii="Arial" w:hAnsi="Arial" w:cs="Arial"/>
          <w:color w:val="000000"/>
        </w:rPr>
        <w:t>Cuando analizamos la cantidad de clientes por agencia, el 39% tiene más de 20, siendo que del total, sólo el 10% registra más de 50 clientes en sus carteras.</w:t>
      </w:r>
    </w:p>
    <w:p w14:paraId="04371438" w14:textId="77777777" w:rsidR="00F85FBD" w:rsidRPr="00B967DF" w:rsidRDefault="00F85FBD" w:rsidP="00830289">
      <w:pPr>
        <w:spacing w:after="200" w:line="276" w:lineRule="atLeast"/>
        <w:rPr>
          <w:rFonts w:ascii="Arial" w:hAnsi="Arial" w:cs="Arial"/>
          <w:color w:val="000000"/>
        </w:rPr>
      </w:pPr>
      <w:r w:rsidRPr="00B967DF">
        <w:rPr>
          <w:rFonts w:ascii="Arial" w:hAnsi="Arial" w:cs="Arial"/>
          <w:color w:val="000000"/>
          <w:u w:val="single"/>
        </w:rPr>
        <w:t>Calidad en la atención: el principal diferencial</w:t>
      </w:r>
    </w:p>
    <w:p w14:paraId="06A2DBB7" w14:textId="77777777" w:rsidR="00F85FBD" w:rsidRPr="00B967DF" w:rsidRDefault="00F85FBD" w:rsidP="00830289">
      <w:pPr>
        <w:spacing w:after="200" w:line="276" w:lineRule="atLeast"/>
        <w:rPr>
          <w:rFonts w:ascii="Arial" w:hAnsi="Arial" w:cs="Arial"/>
          <w:color w:val="000000"/>
        </w:rPr>
      </w:pPr>
      <w:r w:rsidRPr="00B967DF">
        <w:rPr>
          <w:rFonts w:ascii="Arial" w:hAnsi="Arial" w:cs="Arial"/>
          <w:color w:val="000000"/>
        </w:rPr>
        <w:t>Al preguntar a las agencias sobre cuáles fueron los principales factores positivos para el desempeño en 2018, se destaca: la calidad del servicio, con el 77,3% del total de respuestas. De hecho, la gestión de la relación y la calidad de entrega son factores claros que definen si un cliente sigue trabajando con una agencia, e incluso recomienda a otras empresas. </w:t>
      </w:r>
    </w:p>
    <w:p w14:paraId="500F4B8F" w14:textId="3871F3CD" w:rsidR="00F85FBD" w:rsidRPr="00B967DF" w:rsidRDefault="00F85FBD" w:rsidP="00830289">
      <w:pPr>
        <w:spacing w:after="200" w:line="276" w:lineRule="atLeast"/>
        <w:rPr>
          <w:rFonts w:ascii="Arial" w:hAnsi="Arial" w:cs="Arial"/>
          <w:color w:val="000000"/>
        </w:rPr>
      </w:pPr>
      <w:r w:rsidRPr="00B967DF">
        <w:rPr>
          <w:rFonts w:ascii="Arial" w:hAnsi="Arial" w:cs="Arial"/>
          <w:color w:val="000000"/>
        </w:rPr>
        <w:lastRenderedPageBreak/>
        <w:t>Son, al final, compañías de servicios profesionales, y el talento no sólo es un diferencial, sino también la base sobre la que se desarrolla el negocio.</w:t>
      </w:r>
    </w:p>
    <w:p w14:paraId="75D29506" w14:textId="77777777" w:rsidR="00F85FBD" w:rsidRPr="00B967DF" w:rsidRDefault="00F85FBD" w:rsidP="00830289">
      <w:pPr>
        <w:spacing w:after="200" w:line="276" w:lineRule="atLeast"/>
        <w:rPr>
          <w:rFonts w:ascii="Arial" w:hAnsi="Arial" w:cs="Arial"/>
          <w:color w:val="000000"/>
        </w:rPr>
      </w:pPr>
      <w:r w:rsidRPr="00B967DF">
        <w:rPr>
          <w:rFonts w:ascii="Arial" w:hAnsi="Arial" w:cs="Arial"/>
          <w:color w:val="000000"/>
        </w:rPr>
        <w:t>Los otros principales factores para el desempeño registrado en el último año son:</w:t>
      </w:r>
    </w:p>
    <w:p w14:paraId="2AABEC7C" w14:textId="77777777" w:rsidR="00F85FBD" w:rsidRPr="00B967DF" w:rsidRDefault="00F85FBD" w:rsidP="00830289">
      <w:pPr>
        <w:numPr>
          <w:ilvl w:val="0"/>
          <w:numId w:val="31"/>
        </w:numPr>
        <w:spacing w:line="276" w:lineRule="atLeast"/>
        <w:ind w:left="527" w:firstLine="0"/>
        <w:rPr>
          <w:rFonts w:ascii="Arial" w:hAnsi="Arial" w:cs="Arial"/>
          <w:color w:val="000000"/>
        </w:rPr>
      </w:pPr>
      <w:r w:rsidRPr="00B967DF">
        <w:rPr>
          <w:rFonts w:ascii="Arial" w:hAnsi="Arial" w:cs="Arial"/>
          <w:color w:val="000000"/>
        </w:rPr>
        <w:t>Innovación y mejora de los servicios: 53,6%</w:t>
      </w:r>
    </w:p>
    <w:p w14:paraId="209C1AB4" w14:textId="77777777" w:rsidR="00F85FBD" w:rsidRPr="00B967DF" w:rsidRDefault="00F85FBD" w:rsidP="00830289">
      <w:pPr>
        <w:numPr>
          <w:ilvl w:val="0"/>
          <w:numId w:val="31"/>
        </w:numPr>
        <w:spacing w:line="276" w:lineRule="atLeast"/>
        <w:ind w:left="527" w:firstLine="0"/>
        <w:rPr>
          <w:rFonts w:ascii="Arial" w:hAnsi="Arial" w:cs="Arial"/>
          <w:color w:val="000000"/>
        </w:rPr>
      </w:pPr>
      <w:r w:rsidRPr="00B967DF">
        <w:rPr>
          <w:rFonts w:ascii="Arial" w:hAnsi="Arial" w:cs="Arial"/>
          <w:color w:val="000000"/>
        </w:rPr>
        <w:t>Profesionales cualificados: 50,7%</w:t>
      </w:r>
    </w:p>
    <w:p w14:paraId="1FB93413" w14:textId="77777777" w:rsidR="00F85FBD" w:rsidRPr="00B967DF" w:rsidRDefault="00F85FBD" w:rsidP="00830289">
      <w:pPr>
        <w:numPr>
          <w:ilvl w:val="0"/>
          <w:numId w:val="31"/>
        </w:numPr>
        <w:spacing w:line="276" w:lineRule="atLeast"/>
        <w:ind w:left="527" w:firstLine="0"/>
        <w:rPr>
          <w:rFonts w:ascii="Arial" w:hAnsi="Arial" w:cs="Arial"/>
          <w:color w:val="000000"/>
        </w:rPr>
      </w:pPr>
      <w:r w:rsidRPr="00B967DF">
        <w:rPr>
          <w:rFonts w:ascii="Arial" w:hAnsi="Arial" w:cs="Arial"/>
          <w:color w:val="000000"/>
        </w:rPr>
        <w:t>Nuevos clientes: 49,8%</w:t>
      </w:r>
    </w:p>
    <w:p w14:paraId="1F0F77B9" w14:textId="77777777" w:rsidR="00F85FBD" w:rsidRPr="00B967DF" w:rsidRDefault="00F85FBD" w:rsidP="00830289">
      <w:pPr>
        <w:numPr>
          <w:ilvl w:val="0"/>
          <w:numId w:val="31"/>
        </w:numPr>
        <w:spacing w:after="200" w:line="276" w:lineRule="atLeast"/>
        <w:ind w:left="527" w:firstLine="0"/>
        <w:rPr>
          <w:rFonts w:ascii="Arial" w:hAnsi="Arial" w:cs="Arial"/>
          <w:color w:val="000000"/>
        </w:rPr>
      </w:pPr>
      <w:r w:rsidRPr="00B967DF">
        <w:rPr>
          <w:rFonts w:ascii="Arial" w:hAnsi="Arial" w:cs="Arial"/>
          <w:color w:val="000000"/>
        </w:rPr>
        <w:t>Cartera de clientes mantenida: 48,3%</w:t>
      </w:r>
    </w:p>
    <w:p w14:paraId="2F70BE3D" w14:textId="30D39F99" w:rsidR="00F85FBD" w:rsidRPr="00B967DF" w:rsidRDefault="00F85FBD" w:rsidP="00830289">
      <w:pPr>
        <w:spacing w:after="200" w:line="276" w:lineRule="atLeast"/>
        <w:rPr>
          <w:rFonts w:ascii="Arial" w:hAnsi="Arial" w:cs="Arial"/>
          <w:color w:val="000000"/>
        </w:rPr>
      </w:pPr>
      <w:r w:rsidRPr="00B967DF">
        <w:rPr>
          <w:rFonts w:ascii="Arial" w:hAnsi="Arial" w:cs="Arial"/>
          <w:color w:val="000000"/>
        </w:rPr>
        <w:t>Los principales factores negativos refuerzan la preocupación de las agencias en cuanto al escenario económico: el 77,8% de las respuestas, las incertidumbres en el país relacionadas a ese tema se consideraron determinantes para el desempeño. La carga tributaria elevada también es una de las culpables, con el 33,8% de las respuestas. Del TOP 5 de factores, los otros son:</w:t>
      </w:r>
    </w:p>
    <w:p w14:paraId="133EEF52" w14:textId="3B1C4AA5" w:rsidR="00F85FBD" w:rsidRPr="00B967DF" w:rsidRDefault="00F85FBD" w:rsidP="00830289">
      <w:pPr>
        <w:numPr>
          <w:ilvl w:val="0"/>
          <w:numId w:val="32"/>
        </w:numPr>
        <w:spacing w:line="276" w:lineRule="atLeast"/>
        <w:ind w:left="527" w:firstLine="0"/>
        <w:rPr>
          <w:rFonts w:ascii="Arial" w:hAnsi="Arial" w:cs="Arial"/>
          <w:color w:val="000000"/>
        </w:rPr>
      </w:pPr>
      <w:r w:rsidRPr="00B967DF">
        <w:rPr>
          <w:rFonts w:ascii="Arial" w:hAnsi="Arial" w:cs="Arial"/>
          <w:color w:val="000000"/>
        </w:rPr>
        <w:t>Fees menores o reducción del presupuesto de los clientes (que son consecuencia del escenario económico incierto): 70%</w:t>
      </w:r>
    </w:p>
    <w:p w14:paraId="706FE95D" w14:textId="77777777" w:rsidR="00F85FBD" w:rsidRPr="00B967DF" w:rsidRDefault="00F85FBD" w:rsidP="00830289">
      <w:pPr>
        <w:numPr>
          <w:ilvl w:val="0"/>
          <w:numId w:val="32"/>
        </w:numPr>
        <w:spacing w:line="276" w:lineRule="atLeast"/>
        <w:ind w:left="527" w:firstLine="0"/>
        <w:rPr>
          <w:rFonts w:ascii="Arial" w:hAnsi="Arial" w:cs="Arial"/>
          <w:color w:val="000000"/>
        </w:rPr>
      </w:pPr>
      <w:r w:rsidRPr="00B967DF">
        <w:rPr>
          <w:rFonts w:ascii="Arial" w:hAnsi="Arial" w:cs="Arial"/>
          <w:color w:val="000000"/>
        </w:rPr>
        <w:t>Intensificación de la competencia: 30,4%</w:t>
      </w:r>
    </w:p>
    <w:p w14:paraId="1058870E" w14:textId="77777777" w:rsidR="00F85FBD" w:rsidRPr="00B967DF" w:rsidRDefault="00F85FBD" w:rsidP="00830289">
      <w:pPr>
        <w:numPr>
          <w:ilvl w:val="0"/>
          <w:numId w:val="32"/>
        </w:numPr>
        <w:spacing w:after="200" w:line="276" w:lineRule="atLeast"/>
        <w:ind w:left="527" w:firstLine="0"/>
        <w:rPr>
          <w:rFonts w:ascii="Arial" w:hAnsi="Arial" w:cs="Arial"/>
          <w:color w:val="000000"/>
        </w:rPr>
      </w:pPr>
      <w:r w:rsidRPr="00B967DF">
        <w:rPr>
          <w:rFonts w:ascii="Arial" w:hAnsi="Arial" w:cs="Arial"/>
          <w:color w:val="000000"/>
        </w:rPr>
        <w:t>Pérdida de clientes: 26,6%</w:t>
      </w:r>
    </w:p>
    <w:p w14:paraId="2F41D7B6" w14:textId="18052F42" w:rsidR="00F85FBD" w:rsidRPr="00B967DF" w:rsidRDefault="00F85FBD" w:rsidP="00830289">
      <w:pPr>
        <w:spacing w:after="200" w:line="276" w:lineRule="atLeast"/>
        <w:rPr>
          <w:rFonts w:ascii="Arial" w:hAnsi="Arial" w:cs="Arial"/>
          <w:color w:val="000000"/>
        </w:rPr>
      </w:pPr>
      <w:r w:rsidRPr="00B967DF">
        <w:rPr>
          <w:rFonts w:ascii="Arial" w:hAnsi="Arial" w:cs="Arial"/>
          <w:color w:val="000000"/>
        </w:rPr>
        <w:t>El desafío frente a los puntos presentados arriba demanda de las empresas adaptación rápida, y clar</w:t>
      </w:r>
      <w:r w:rsidR="00457A56" w:rsidRPr="00B967DF">
        <w:rPr>
          <w:rFonts w:ascii="Arial" w:hAnsi="Arial" w:cs="Arial"/>
          <w:color w:val="000000"/>
        </w:rPr>
        <w:t>a</w:t>
      </w:r>
      <w:r w:rsidRPr="00B967DF">
        <w:rPr>
          <w:rFonts w:ascii="Arial" w:hAnsi="Arial" w:cs="Arial"/>
          <w:color w:val="000000"/>
        </w:rPr>
        <w:t>, inversión en innovación. </w:t>
      </w:r>
      <w:r w:rsidR="00457A56" w:rsidRPr="00B967DF">
        <w:rPr>
          <w:rFonts w:ascii="Arial" w:hAnsi="Arial" w:cs="Arial"/>
          <w:color w:val="000000"/>
        </w:rPr>
        <w:t>Por eso, el anuario de Comunicación Corporativa 2019 revela que el 63,8% de las agencias concretizaron algún tipo de innovación.</w:t>
      </w:r>
    </w:p>
    <w:p w14:paraId="2D85EF47" w14:textId="544205CF" w:rsidR="00457A56" w:rsidRPr="00B967DF" w:rsidRDefault="00F85FBD" w:rsidP="00830289">
      <w:pPr>
        <w:spacing w:after="200" w:line="276" w:lineRule="atLeast"/>
        <w:rPr>
          <w:rFonts w:ascii="Arial" w:hAnsi="Arial" w:cs="Arial"/>
          <w:color w:val="000000"/>
        </w:rPr>
      </w:pPr>
      <w:r w:rsidRPr="00B967DF">
        <w:rPr>
          <w:rFonts w:ascii="Arial" w:hAnsi="Arial" w:cs="Arial"/>
          <w:color w:val="000000"/>
        </w:rPr>
        <w:t>De este total, las principales innovaciones fueron los medios digitales / aplicaciones sociales / redes (56,8%), mejora de los procesos internos (34,8%), mejora de los productos existentes (12,1%) y 11,4 (Inbound Marketing %).</w:t>
      </w:r>
    </w:p>
    <w:p w14:paraId="28559D90" w14:textId="77777777" w:rsidR="00457A56" w:rsidRPr="00B967DF" w:rsidRDefault="00457A56" w:rsidP="00830289">
      <w:pPr>
        <w:pStyle w:val="NormalWeb"/>
        <w:spacing w:before="0" w:beforeAutospacing="0" w:after="200" w:afterAutospacing="0" w:line="276" w:lineRule="atLeast"/>
        <w:rPr>
          <w:rFonts w:ascii="Arial" w:hAnsi="Arial" w:cs="Arial"/>
          <w:color w:val="000000"/>
        </w:rPr>
      </w:pPr>
      <w:r w:rsidRPr="00B967DF">
        <w:rPr>
          <w:rStyle w:val="notranslate"/>
          <w:rFonts w:ascii="Arial" w:hAnsi="Arial" w:cs="Arial"/>
          <w:color w:val="000000"/>
          <w:u w:val="single"/>
        </w:rPr>
        <w:t>Dónde y cómo invertir</w:t>
      </w:r>
    </w:p>
    <w:p w14:paraId="360847ED" w14:textId="291331AF" w:rsidR="00457A56" w:rsidRPr="00B967DF" w:rsidRDefault="00457A56" w:rsidP="00830289">
      <w:pPr>
        <w:pStyle w:val="NormalWeb"/>
        <w:spacing w:before="0" w:beforeAutospacing="0" w:after="200" w:afterAutospacing="0" w:line="276" w:lineRule="atLeast"/>
        <w:rPr>
          <w:rStyle w:val="notranslate"/>
          <w:rFonts w:ascii="Arial" w:hAnsi="Arial" w:cs="Arial"/>
          <w:color w:val="000000"/>
        </w:rPr>
      </w:pPr>
      <w:r w:rsidRPr="00B967DF">
        <w:rPr>
          <w:rStyle w:val="notranslate"/>
          <w:rFonts w:ascii="Arial" w:hAnsi="Arial" w:cs="Arial"/>
          <w:color w:val="000000"/>
        </w:rPr>
        <w:t>El sector público en Brasil, por medio de órganos y empresas estatales, suele demandar un mayor alcance de trabajo a las agencias, lo que por sí solo se refleja en un mejor pago por los servicios. Sin embargo, no todas las empresas pueden o quieren participar en licitaciones / competencias para trabajar con gobiernos, sea por exceso de burocracia exigida o por decisión institucional.</w:t>
      </w:r>
    </w:p>
    <w:p w14:paraId="0FEB0747" w14:textId="03E5C5D9" w:rsidR="00457A56" w:rsidRPr="00B967DF" w:rsidRDefault="00457A56" w:rsidP="00830289">
      <w:pPr>
        <w:pStyle w:val="NormalWeb"/>
        <w:spacing w:before="0" w:beforeAutospacing="0" w:after="200" w:afterAutospacing="0" w:line="276" w:lineRule="atLeast"/>
        <w:rPr>
          <w:rStyle w:val="notranslate"/>
          <w:rFonts w:ascii="Arial" w:hAnsi="Arial" w:cs="Arial"/>
          <w:color w:val="000000"/>
        </w:rPr>
      </w:pPr>
      <w:r w:rsidRPr="00B967DF">
        <w:rPr>
          <w:rStyle w:val="notranslate"/>
          <w:rFonts w:ascii="Arial" w:hAnsi="Arial" w:cs="Arial"/>
          <w:color w:val="000000"/>
        </w:rPr>
        <w:t>De todos los organismos, sólo el 24,2% se dedican a estas ofertas.</w:t>
      </w:r>
      <w:r w:rsidRPr="00B967DF">
        <w:rPr>
          <w:rFonts w:ascii="Arial" w:hAnsi="Arial" w:cs="Arial"/>
          <w:color w:val="000000"/>
        </w:rPr>
        <w:t> </w:t>
      </w:r>
      <w:r w:rsidRPr="00B967DF">
        <w:rPr>
          <w:rStyle w:val="notranslate"/>
          <w:rFonts w:ascii="Arial" w:hAnsi="Arial" w:cs="Arial"/>
          <w:color w:val="000000"/>
        </w:rPr>
        <w:t>Y del total, el 15% de la facturación viene de trabajos con gobiernos.</w:t>
      </w:r>
      <w:r w:rsidR="00FC3344" w:rsidRPr="00B967DF">
        <w:rPr>
          <w:rStyle w:val="notranslate"/>
          <w:rFonts w:ascii="Arial" w:hAnsi="Arial" w:cs="Arial"/>
          <w:color w:val="000000"/>
        </w:rPr>
        <w:t xml:space="preserve"> </w:t>
      </w:r>
      <w:r w:rsidRPr="00B967DF">
        <w:rPr>
          <w:rStyle w:val="notranslate"/>
          <w:rFonts w:ascii="Arial" w:hAnsi="Arial" w:cs="Arial"/>
          <w:color w:val="000000"/>
        </w:rPr>
        <w:t>Otro indicador relevante, y que explica el desempeño general del sector es la decisión por invertir o no en el negocio.</w:t>
      </w:r>
      <w:r w:rsidRPr="00B967DF">
        <w:rPr>
          <w:rFonts w:ascii="Arial" w:hAnsi="Arial" w:cs="Arial"/>
          <w:color w:val="000000"/>
        </w:rPr>
        <w:t> </w:t>
      </w:r>
      <w:r w:rsidRPr="00B967DF">
        <w:rPr>
          <w:rStyle w:val="notranslate"/>
          <w:rFonts w:ascii="Arial" w:hAnsi="Arial" w:cs="Arial"/>
          <w:color w:val="000000"/>
        </w:rPr>
        <w:t>En 2018, el 84% de las agencias han invertido en áreas / actividades tales como la tecnología (50,3% frente a 40,3% en 2017), la formación y el conocimiento (47,4% frente a 40,3% en 2017) y Recursos Humanos (42, 9% vs 43,7% en 2017).</w:t>
      </w:r>
    </w:p>
    <w:p w14:paraId="6DA046BE" w14:textId="75BF920F" w:rsidR="00FC3344" w:rsidRPr="00B967DF" w:rsidRDefault="00FC3344" w:rsidP="00FC3344">
      <w:pPr>
        <w:pStyle w:val="NormalWeb"/>
        <w:spacing w:before="0" w:beforeAutospacing="0" w:after="200" w:afterAutospacing="0" w:line="276" w:lineRule="atLeast"/>
        <w:rPr>
          <w:rFonts w:ascii="Arial" w:hAnsi="Arial" w:cs="Arial"/>
          <w:color w:val="000000"/>
        </w:rPr>
      </w:pPr>
      <w:r w:rsidRPr="00B967DF">
        <w:rPr>
          <w:rStyle w:val="notranslate"/>
          <w:rFonts w:ascii="Arial" w:hAnsi="Arial" w:cs="Arial"/>
          <w:color w:val="000000"/>
          <w:u w:val="single"/>
        </w:rPr>
        <w:t>Tendencias y perspectivas</w:t>
      </w:r>
    </w:p>
    <w:p w14:paraId="309B5966" w14:textId="77777777" w:rsidR="001B2D93" w:rsidRPr="00B967DF" w:rsidRDefault="001B2D93" w:rsidP="00830289">
      <w:pPr>
        <w:spacing w:after="200" w:line="276" w:lineRule="atLeast"/>
        <w:rPr>
          <w:rFonts w:ascii="Arial" w:hAnsi="Arial" w:cs="Arial"/>
          <w:color w:val="000000"/>
        </w:rPr>
      </w:pPr>
      <w:r w:rsidRPr="00B967DF">
        <w:rPr>
          <w:rFonts w:ascii="Arial" w:hAnsi="Arial" w:cs="Arial"/>
          <w:color w:val="000000"/>
        </w:rPr>
        <w:t xml:space="preserve">Entre las principales necesidades de comunicación corporativa demandas por los clientes, relación con los medios (72,5%) es, con mucho, la líder en las respuestas, </w:t>
      </w:r>
      <w:r w:rsidRPr="00B967DF">
        <w:rPr>
          <w:rFonts w:ascii="Arial" w:hAnsi="Arial" w:cs="Arial"/>
          <w:color w:val="000000"/>
        </w:rPr>
        <w:lastRenderedPageBreak/>
        <w:t>seguida de gestión de redes sociales (44,9%). Estos dos servicios son hoy lo que llamamos commodities, es decir, ofertas que la mayoría de las agencias pueden hacer, lo que derrumba el precio de mercado y perjudica la rentabilidad del sector en su conjunto.</w:t>
      </w:r>
    </w:p>
    <w:p w14:paraId="396C7A23" w14:textId="19C1886C" w:rsidR="00457A56" w:rsidRPr="00B967DF" w:rsidRDefault="00457A56" w:rsidP="00830289">
      <w:pPr>
        <w:spacing w:after="200" w:line="276" w:lineRule="atLeast"/>
        <w:rPr>
          <w:rFonts w:ascii="Arial" w:hAnsi="Arial" w:cs="Arial"/>
          <w:color w:val="000000"/>
        </w:rPr>
      </w:pPr>
      <w:r w:rsidRPr="00B967DF">
        <w:rPr>
          <w:rFonts w:ascii="Arial" w:hAnsi="Arial" w:cs="Arial"/>
          <w:color w:val="000000"/>
        </w:rPr>
        <w:t>Más servicios específicos o especializados, como </w:t>
      </w:r>
      <w:r w:rsidRPr="00B967DF">
        <w:rPr>
          <w:rFonts w:ascii="Arial" w:hAnsi="Arial" w:cs="Arial"/>
          <w:i/>
          <w:iCs/>
          <w:color w:val="000000"/>
        </w:rPr>
        <w:t>Público</w:t>
      </w:r>
      <w:r w:rsidRPr="00B967DF">
        <w:rPr>
          <w:rFonts w:ascii="Arial" w:hAnsi="Arial" w:cs="Arial"/>
          <w:color w:val="000000"/>
        </w:rPr>
        <w:t> </w:t>
      </w:r>
      <w:r w:rsidRPr="00B967DF">
        <w:rPr>
          <w:rFonts w:ascii="Arial" w:hAnsi="Arial" w:cs="Arial"/>
          <w:i/>
          <w:iCs/>
          <w:color w:val="000000"/>
        </w:rPr>
        <w:t>Asuntos</w:t>
      </w:r>
      <w:r w:rsidRPr="00B967DF">
        <w:rPr>
          <w:rFonts w:ascii="Arial" w:hAnsi="Arial" w:cs="Arial"/>
          <w:color w:val="000000"/>
        </w:rPr>
        <w:t> (3,4%), de marca Contenido (10,1%) y herramientas de medición y evaluación   (13,5%), son menos demandados, lo que demuestra que los propios clientes todavía necesitan avanzar en la concepción del potencial del servicio que puede realizarse, pero que hoy no se percibe como esencial.</w:t>
      </w:r>
    </w:p>
    <w:p w14:paraId="11965FFE" w14:textId="77777777" w:rsidR="00457A56" w:rsidRPr="00B967DF" w:rsidRDefault="00457A56" w:rsidP="00830289">
      <w:pPr>
        <w:spacing w:after="200" w:line="276" w:lineRule="atLeast"/>
        <w:rPr>
          <w:rFonts w:ascii="Arial" w:hAnsi="Arial" w:cs="Arial"/>
          <w:color w:val="000000"/>
        </w:rPr>
      </w:pPr>
      <w:r w:rsidRPr="00B967DF">
        <w:rPr>
          <w:rFonts w:ascii="Arial" w:hAnsi="Arial" w:cs="Arial"/>
          <w:color w:val="000000"/>
        </w:rPr>
        <w:t>Al menos uno de estos elementos anteriormente mencionados es visto por las agencias y consultorías, como una de las tendencias que influyen en el rendimiento de comunicaciones corporativas, la marca Contenido con 46,9%. Otras tendencias son Marketing Digital (61,4%) e Influenciadores Digitales (47,8%).</w:t>
      </w:r>
    </w:p>
    <w:p w14:paraId="50ED4D7E" w14:textId="77777777" w:rsidR="00457A56" w:rsidRPr="00B967DF" w:rsidRDefault="00457A56" w:rsidP="00830289">
      <w:pPr>
        <w:spacing w:after="200" w:line="276" w:lineRule="atLeast"/>
        <w:rPr>
          <w:rFonts w:ascii="Arial" w:hAnsi="Arial" w:cs="Arial"/>
          <w:color w:val="000000"/>
        </w:rPr>
      </w:pPr>
      <w:r w:rsidRPr="00B967DF">
        <w:rPr>
          <w:rFonts w:ascii="Arial" w:hAnsi="Arial" w:cs="Arial"/>
          <w:color w:val="000000"/>
        </w:rPr>
        <w:t>Por último, cuando se le preguntó sobre cómo será el sector en un futuro próximo, el 60,4% de las agencias dicen que la Comunicación Corporativa funcionará en conjunto con el departamento de marketing de los clientes y el 30,4% dice que el sector caminará junto con el Marketing para ser una disciplina unificada.</w:t>
      </w:r>
    </w:p>
    <w:p w14:paraId="17428CDA" w14:textId="77777777" w:rsidR="00FC3344" w:rsidRPr="00B967DF" w:rsidRDefault="00457A56" w:rsidP="00FC3344">
      <w:pPr>
        <w:spacing w:after="200" w:line="276" w:lineRule="atLeast"/>
        <w:rPr>
          <w:rFonts w:ascii="Arial" w:hAnsi="Arial" w:cs="Arial"/>
          <w:color w:val="000000"/>
        </w:rPr>
      </w:pPr>
      <w:r w:rsidRPr="00B967DF">
        <w:rPr>
          <w:rFonts w:ascii="Arial" w:hAnsi="Arial" w:cs="Arial"/>
          <w:color w:val="000000"/>
        </w:rPr>
        <w:t>Las principales conclusiones de este estudio, se puede entender, entonces, que:</w:t>
      </w:r>
    </w:p>
    <w:p w14:paraId="4A50D7A4" w14:textId="7EEC44D8" w:rsidR="00FC3344" w:rsidRPr="00B3759C" w:rsidRDefault="001B2D93" w:rsidP="00FC3344">
      <w:pPr>
        <w:pStyle w:val="ListParagraph"/>
        <w:numPr>
          <w:ilvl w:val="0"/>
          <w:numId w:val="39"/>
        </w:numPr>
        <w:spacing w:after="200" w:line="276" w:lineRule="atLeast"/>
        <w:rPr>
          <w:rFonts w:ascii="Arial" w:hAnsi="Arial" w:cs="Arial"/>
          <w:color w:val="000000"/>
        </w:rPr>
      </w:pPr>
      <w:r w:rsidRPr="00B967DF">
        <w:rPr>
          <w:rFonts w:ascii="Arial" w:hAnsi="Arial" w:cs="Arial"/>
          <w:color w:val="222222"/>
          <w:shd w:val="clear" w:color="auto" w:fill="F8F9FA"/>
        </w:rPr>
        <w:t>El sector creció, pero sólo las grandes agencias registran, de hecho, mayores ganancias</w:t>
      </w:r>
      <w:r w:rsidR="00FC3344" w:rsidRPr="00B967DF">
        <w:rPr>
          <w:rFonts w:ascii="Arial" w:hAnsi="Arial" w:cs="Arial"/>
          <w:color w:val="222222"/>
          <w:shd w:val="clear" w:color="auto" w:fill="F8F9FA"/>
        </w:rPr>
        <w:t>.</w:t>
      </w:r>
      <w:r w:rsidR="00B3759C">
        <w:rPr>
          <w:rFonts w:ascii="Arial" w:hAnsi="Arial" w:cs="Arial"/>
          <w:color w:val="222222"/>
          <w:shd w:val="clear" w:color="auto" w:fill="F8F9FA"/>
        </w:rPr>
        <w:br/>
      </w:r>
    </w:p>
    <w:p w14:paraId="663CBD5A" w14:textId="77A13CB1" w:rsidR="001B2D93" w:rsidRPr="00B967DF" w:rsidRDefault="001B2D93" w:rsidP="00FC3344">
      <w:pPr>
        <w:pStyle w:val="ListParagraph"/>
        <w:numPr>
          <w:ilvl w:val="0"/>
          <w:numId w:val="39"/>
        </w:numPr>
        <w:rPr>
          <w:rFonts w:ascii="Arial" w:hAnsi="Arial" w:cs="Arial"/>
          <w:color w:val="222222"/>
          <w:shd w:val="clear" w:color="auto" w:fill="F8F9FA"/>
        </w:rPr>
      </w:pPr>
      <w:r w:rsidRPr="00B967DF">
        <w:rPr>
          <w:rFonts w:ascii="Arial" w:hAnsi="Arial" w:cs="Arial"/>
          <w:color w:val="222222"/>
          <w:shd w:val="clear" w:color="auto" w:fill="F8F9FA"/>
        </w:rPr>
        <w:t>La gestión de la relación con el cliente, sumada a la entrega de calidad, es un factor determinante para el resultado</w:t>
      </w:r>
      <w:r w:rsidR="00FC3344" w:rsidRPr="00B967DF">
        <w:rPr>
          <w:rFonts w:ascii="Arial" w:hAnsi="Arial" w:cs="Arial"/>
          <w:color w:val="222222"/>
          <w:shd w:val="clear" w:color="auto" w:fill="F8F9FA"/>
        </w:rPr>
        <w:t>.</w:t>
      </w:r>
    </w:p>
    <w:p w14:paraId="7FA23E32" w14:textId="77777777" w:rsidR="00FC3344" w:rsidRPr="00B967DF" w:rsidRDefault="00FC3344" w:rsidP="00FC3344">
      <w:pPr>
        <w:rPr>
          <w:rFonts w:ascii="Arial" w:hAnsi="Arial" w:cs="Arial"/>
          <w:color w:val="222222"/>
          <w:shd w:val="clear" w:color="auto" w:fill="F8F9FA"/>
        </w:rPr>
      </w:pPr>
    </w:p>
    <w:p w14:paraId="00FFCAC9" w14:textId="3069F6F6" w:rsidR="001B2D93" w:rsidRPr="00B967DF" w:rsidRDefault="001B2D93" w:rsidP="00FC3344">
      <w:pPr>
        <w:pStyle w:val="ListParagraph"/>
        <w:numPr>
          <w:ilvl w:val="0"/>
          <w:numId w:val="39"/>
        </w:numPr>
        <w:rPr>
          <w:rFonts w:ascii="Arial" w:hAnsi="Arial" w:cs="Arial"/>
          <w:color w:val="222222"/>
          <w:shd w:val="clear" w:color="auto" w:fill="F8F9FA"/>
        </w:rPr>
      </w:pPr>
      <w:r w:rsidRPr="00B967DF">
        <w:rPr>
          <w:rFonts w:ascii="Arial" w:hAnsi="Arial" w:cs="Arial"/>
          <w:color w:val="222222"/>
          <w:shd w:val="clear" w:color="auto" w:fill="F8F9FA"/>
        </w:rPr>
        <w:t>El escenario económico de Brasil y las altas cargas tributarias continúan impactando el sector</w:t>
      </w:r>
      <w:r w:rsidR="00FC3344" w:rsidRPr="00B967DF">
        <w:rPr>
          <w:rFonts w:ascii="Arial" w:hAnsi="Arial" w:cs="Arial"/>
          <w:color w:val="222222"/>
          <w:shd w:val="clear" w:color="auto" w:fill="F8F9FA"/>
        </w:rPr>
        <w:t>.</w:t>
      </w:r>
    </w:p>
    <w:p w14:paraId="6C3412BB" w14:textId="77777777" w:rsidR="00FC3344" w:rsidRPr="00B967DF" w:rsidRDefault="00FC3344" w:rsidP="00FC3344">
      <w:pPr>
        <w:rPr>
          <w:rFonts w:ascii="Arial" w:hAnsi="Arial" w:cs="Arial"/>
          <w:color w:val="222222"/>
          <w:shd w:val="clear" w:color="auto" w:fill="F8F9FA"/>
        </w:rPr>
      </w:pPr>
    </w:p>
    <w:p w14:paraId="2A508F24" w14:textId="3111F3F5" w:rsidR="001B2D93" w:rsidRPr="00B967DF" w:rsidRDefault="001B2D93" w:rsidP="00FC3344">
      <w:pPr>
        <w:pStyle w:val="ListParagraph"/>
        <w:numPr>
          <w:ilvl w:val="0"/>
          <w:numId w:val="39"/>
        </w:numPr>
        <w:rPr>
          <w:rFonts w:ascii="Arial" w:hAnsi="Arial" w:cs="Arial"/>
          <w:color w:val="222222"/>
          <w:shd w:val="clear" w:color="auto" w:fill="F8F9FA"/>
        </w:rPr>
      </w:pPr>
      <w:r w:rsidRPr="00B967DF">
        <w:rPr>
          <w:rFonts w:ascii="Arial" w:hAnsi="Arial" w:cs="Arial"/>
          <w:color w:val="222222"/>
          <w:shd w:val="clear" w:color="auto" w:fill="F8F9FA"/>
        </w:rPr>
        <w:t>El tipo de servicio demandado por los clientes, en general, son de commodities, lo que acrecienta la competencia - y por tasas menores</w:t>
      </w:r>
      <w:r w:rsidR="00FC3344" w:rsidRPr="00B967DF">
        <w:rPr>
          <w:rFonts w:ascii="Arial" w:hAnsi="Arial" w:cs="Arial"/>
          <w:color w:val="222222"/>
          <w:shd w:val="clear" w:color="auto" w:fill="F8F9FA"/>
        </w:rPr>
        <w:t>.</w:t>
      </w:r>
    </w:p>
    <w:p w14:paraId="18C8C5B7" w14:textId="77777777" w:rsidR="00FC3344" w:rsidRPr="00B967DF" w:rsidRDefault="00FC3344" w:rsidP="00FC3344">
      <w:pPr>
        <w:rPr>
          <w:rFonts w:ascii="Arial" w:hAnsi="Arial" w:cs="Arial"/>
          <w:color w:val="222222"/>
          <w:shd w:val="clear" w:color="auto" w:fill="F8F9FA"/>
        </w:rPr>
      </w:pPr>
    </w:p>
    <w:p w14:paraId="091534B3" w14:textId="3EAF3BDF" w:rsidR="001B2D93" w:rsidRPr="00B967DF" w:rsidRDefault="001B2D93" w:rsidP="00FC3344">
      <w:pPr>
        <w:pStyle w:val="ListParagraph"/>
        <w:numPr>
          <w:ilvl w:val="0"/>
          <w:numId w:val="39"/>
        </w:numPr>
        <w:rPr>
          <w:rFonts w:ascii="Arial" w:hAnsi="Arial" w:cs="Arial"/>
        </w:rPr>
      </w:pPr>
      <w:r w:rsidRPr="00B967DF">
        <w:rPr>
          <w:rFonts w:ascii="Arial" w:hAnsi="Arial" w:cs="Arial"/>
          <w:color w:val="222222"/>
          <w:shd w:val="clear" w:color="auto" w:fill="F8F9FA"/>
        </w:rPr>
        <w:t>Gran parte de las empresas cree que el sector se unificará al marketing en un futuro próximo. Esto significa que podemos esperar un aumento de la competencia entre las agencias de comunicación corporativa y de marketing, y que los decisores (líderes de los clientes) podrán optar por invertir mayor parte del presupuesto en su área. En esa pelea, por experiencia propia, se espera que el sector de Comunicación Corporativa salga perdiendo.</w:t>
      </w:r>
    </w:p>
    <w:p w14:paraId="3C920267" w14:textId="77777777" w:rsidR="00FC3344" w:rsidRPr="00B967DF" w:rsidRDefault="00FC3344" w:rsidP="00830289">
      <w:pPr>
        <w:spacing w:after="200" w:line="322" w:lineRule="atLeast"/>
        <w:rPr>
          <w:rFonts w:ascii="Arial" w:hAnsi="Arial" w:cs="Arial"/>
          <w:b/>
          <w:bCs/>
          <w:color w:val="000000"/>
        </w:rPr>
      </w:pPr>
    </w:p>
    <w:p w14:paraId="1929DE55" w14:textId="44CE61FD" w:rsidR="001B2D93" w:rsidRPr="00B3759C" w:rsidRDefault="001B2D93" w:rsidP="00830289">
      <w:pPr>
        <w:spacing w:after="200" w:line="322" w:lineRule="atLeast"/>
        <w:rPr>
          <w:rFonts w:ascii="Arial" w:hAnsi="Arial" w:cs="Arial"/>
          <w:color w:val="000000"/>
          <w:sz w:val="28"/>
          <w:szCs w:val="28"/>
        </w:rPr>
      </w:pPr>
      <w:r w:rsidRPr="00B3759C">
        <w:rPr>
          <w:rFonts w:ascii="Arial" w:hAnsi="Arial" w:cs="Arial"/>
          <w:b/>
          <w:bCs/>
          <w:color w:val="000000"/>
          <w:sz w:val="28"/>
          <w:szCs w:val="28"/>
        </w:rPr>
        <w:t>¿Cuáles son las fuerzas de</w:t>
      </w:r>
      <w:r w:rsidRPr="00B3759C">
        <w:rPr>
          <w:rFonts w:ascii="Arial" w:hAnsi="Arial" w:cs="Arial"/>
          <w:color w:val="000000"/>
          <w:sz w:val="28"/>
          <w:szCs w:val="28"/>
        </w:rPr>
        <w:t> </w:t>
      </w:r>
      <w:r w:rsidRPr="00B3759C">
        <w:rPr>
          <w:rFonts w:ascii="Arial" w:hAnsi="Arial" w:cs="Arial"/>
          <w:b/>
          <w:bCs/>
          <w:color w:val="000000"/>
          <w:sz w:val="28"/>
          <w:szCs w:val="28"/>
        </w:rPr>
        <w:t>Porter que afectan a la industria?</w:t>
      </w:r>
    </w:p>
    <w:p w14:paraId="6A4761E1" w14:textId="77777777" w:rsidR="00FC3344" w:rsidRPr="00B967DF" w:rsidRDefault="001B2D93" w:rsidP="00FC3344">
      <w:pPr>
        <w:spacing w:after="200" w:line="276" w:lineRule="atLeast"/>
        <w:rPr>
          <w:rFonts w:ascii="Arial" w:hAnsi="Arial" w:cs="Arial"/>
          <w:color w:val="000000"/>
        </w:rPr>
      </w:pPr>
      <w:r w:rsidRPr="00B967DF">
        <w:rPr>
          <w:rFonts w:ascii="Arial" w:hAnsi="Arial" w:cs="Arial"/>
          <w:color w:val="000000"/>
        </w:rPr>
        <w:t>Con los datos actualizados del sector, es posible seguir para un análisis más completo. Para recordar, Porter indica cinco fuerzas que pueden impactar un negocio, siendo:</w:t>
      </w:r>
    </w:p>
    <w:p w14:paraId="7E5852A2" w14:textId="09E4EEAC" w:rsidR="00FC3344" w:rsidRPr="00B967DF" w:rsidRDefault="00FC3344" w:rsidP="00FC3344">
      <w:pPr>
        <w:pStyle w:val="ListParagraph"/>
        <w:numPr>
          <w:ilvl w:val="0"/>
          <w:numId w:val="40"/>
        </w:numPr>
        <w:spacing w:after="200" w:line="276" w:lineRule="atLeast"/>
        <w:rPr>
          <w:rFonts w:ascii="Arial" w:hAnsi="Arial" w:cs="Arial"/>
          <w:color w:val="222222"/>
        </w:rPr>
      </w:pPr>
      <w:r w:rsidRPr="00B967DF">
        <w:rPr>
          <w:rFonts w:ascii="Arial" w:hAnsi="Arial" w:cs="Arial"/>
          <w:color w:val="222222"/>
        </w:rPr>
        <w:lastRenderedPageBreak/>
        <w:t>La intensidad de la competencia y cómo está posicionada.</w:t>
      </w:r>
    </w:p>
    <w:p w14:paraId="2A3F0FB0" w14:textId="56FB6662" w:rsidR="00FC3344" w:rsidRPr="00B967DF" w:rsidRDefault="00FC3344" w:rsidP="00FC3344">
      <w:pPr>
        <w:pStyle w:val="ListParagraph"/>
        <w:numPr>
          <w:ilvl w:val="0"/>
          <w:numId w:val="40"/>
        </w:numPr>
        <w:spacing w:after="200" w:line="276" w:lineRule="atLeast"/>
        <w:rPr>
          <w:rFonts w:ascii="Arial" w:hAnsi="Arial" w:cs="Arial"/>
          <w:color w:val="222222"/>
        </w:rPr>
      </w:pPr>
      <w:r w:rsidRPr="00B967DF">
        <w:rPr>
          <w:rFonts w:ascii="Arial" w:hAnsi="Arial" w:cs="Arial"/>
          <w:color w:val="222222"/>
        </w:rPr>
        <w:t>Los competidores potenciales (barreras de entrada).</w:t>
      </w:r>
    </w:p>
    <w:p w14:paraId="0FE1CBA4" w14:textId="77777777" w:rsidR="00FC3344" w:rsidRPr="00B967DF" w:rsidRDefault="00FC3344" w:rsidP="00FC3344">
      <w:pPr>
        <w:pStyle w:val="ListParagraph"/>
        <w:numPr>
          <w:ilvl w:val="0"/>
          <w:numId w:val="40"/>
        </w:numPr>
        <w:spacing w:after="200" w:line="276" w:lineRule="atLeast"/>
        <w:rPr>
          <w:rFonts w:ascii="Arial" w:hAnsi="Arial" w:cs="Arial"/>
          <w:color w:val="222222"/>
        </w:rPr>
      </w:pPr>
      <w:r w:rsidRPr="00B967DF">
        <w:rPr>
          <w:rFonts w:ascii="Arial" w:hAnsi="Arial" w:cs="Arial"/>
          <w:color w:val="222222"/>
        </w:rPr>
        <w:t>Los productos / servicios sustitutivos.</w:t>
      </w:r>
    </w:p>
    <w:p w14:paraId="00EA0BC0" w14:textId="2DD1717C" w:rsidR="00FC3344" w:rsidRPr="00B967DF" w:rsidRDefault="00FC3344" w:rsidP="00FC3344">
      <w:pPr>
        <w:pStyle w:val="ListParagraph"/>
        <w:numPr>
          <w:ilvl w:val="0"/>
          <w:numId w:val="40"/>
        </w:numPr>
        <w:spacing w:after="200" w:line="276" w:lineRule="atLeast"/>
        <w:rPr>
          <w:rFonts w:ascii="Arial" w:hAnsi="Arial" w:cs="Arial"/>
          <w:color w:val="222222"/>
        </w:rPr>
      </w:pPr>
      <w:r w:rsidRPr="00B967DF">
        <w:rPr>
          <w:rFonts w:ascii="Arial" w:hAnsi="Arial" w:cs="Arial"/>
          <w:color w:val="222222"/>
        </w:rPr>
        <w:t>El poder negociador de clientes (y canales de distribución sí los hay).</w:t>
      </w:r>
    </w:p>
    <w:p w14:paraId="6C15C914" w14:textId="21CAECC5" w:rsidR="00FC3344" w:rsidRPr="00B967DF" w:rsidRDefault="00FC3344" w:rsidP="00FC3344">
      <w:pPr>
        <w:pStyle w:val="ListParagraph"/>
        <w:numPr>
          <w:ilvl w:val="0"/>
          <w:numId w:val="40"/>
        </w:numPr>
        <w:spacing w:after="200" w:line="276" w:lineRule="atLeast"/>
        <w:rPr>
          <w:rFonts w:ascii="Arial" w:hAnsi="Arial" w:cs="Arial"/>
          <w:color w:val="222222"/>
        </w:rPr>
      </w:pPr>
      <w:r w:rsidRPr="00B967DF">
        <w:rPr>
          <w:rFonts w:ascii="Arial" w:hAnsi="Arial" w:cs="Arial"/>
          <w:color w:val="222222"/>
        </w:rPr>
        <w:t>El poder negociador de proveedores.</w:t>
      </w:r>
    </w:p>
    <w:p w14:paraId="5A5FD131" w14:textId="77777777" w:rsidR="001B2D93" w:rsidRPr="00B967DF" w:rsidRDefault="001B2D93" w:rsidP="00830289">
      <w:pPr>
        <w:spacing w:after="200" w:line="276" w:lineRule="atLeast"/>
        <w:rPr>
          <w:rFonts w:ascii="Arial" w:hAnsi="Arial" w:cs="Arial"/>
          <w:color w:val="000000"/>
        </w:rPr>
      </w:pPr>
      <w:r w:rsidRPr="00B967DF">
        <w:rPr>
          <w:rFonts w:ascii="Arial" w:hAnsi="Arial" w:cs="Arial"/>
          <w:color w:val="000000"/>
        </w:rPr>
        <w:t>De todas, es posible entender que el sector de Relaciones Públicas / Comunicación Corporativa es afectado por cuatro, que serían:</w:t>
      </w:r>
    </w:p>
    <w:p w14:paraId="28E92A68" w14:textId="30E1F44C" w:rsidR="001B2D93" w:rsidRPr="00B967DF" w:rsidRDefault="001B2D93" w:rsidP="00FC3344">
      <w:pPr>
        <w:pStyle w:val="ListParagraph"/>
        <w:numPr>
          <w:ilvl w:val="0"/>
          <w:numId w:val="41"/>
        </w:numPr>
        <w:spacing w:line="276" w:lineRule="atLeast"/>
        <w:rPr>
          <w:rFonts w:ascii="Arial" w:hAnsi="Arial" w:cs="Arial"/>
          <w:b/>
          <w:bCs/>
          <w:color w:val="000000"/>
        </w:rPr>
      </w:pPr>
      <w:r w:rsidRPr="00B967DF">
        <w:rPr>
          <w:rFonts w:ascii="Arial" w:hAnsi="Arial" w:cs="Arial"/>
          <w:b/>
          <w:bCs/>
          <w:color w:val="000000"/>
        </w:rPr>
        <w:t>La intensidad de la competencia: </w:t>
      </w:r>
      <w:r w:rsidRPr="00B3759C">
        <w:rPr>
          <w:rFonts w:ascii="Arial" w:hAnsi="Arial" w:cs="Arial"/>
          <w:bCs/>
          <w:color w:val="000000"/>
        </w:rPr>
        <w:t xml:space="preserve">sólo 20 empresas en el sector en Brasil </w:t>
      </w:r>
      <w:r w:rsidR="00EC7728" w:rsidRPr="00B3759C">
        <w:rPr>
          <w:rFonts w:ascii="Arial" w:hAnsi="Arial" w:cs="Arial"/>
          <w:bCs/>
          <w:color w:val="000000"/>
        </w:rPr>
        <w:t xml:space="preserve">factura </w:t>
      </w:r>
      <w:r w:rsidRPr="00B3759C">
        <w:rPr>
          <w:rFonts w:ascii="Arial" w:hAnsi="Arial" w:cs="Arial"/>
          <w:bCs/>
          <w:color w:val="000000"/>
        </w:rPr>
        <w:t>más de R $ 15 millones de reales por año. De las 20, sólo 10 facturan más de R $ 40 millones anualmente. </w:t>
      </w:r>
      <w:r w:rsidR="00EC7728" w:rsidRPr="00B3759C">
        <w:rPr>
          <w:rFonts w:ascii="Arial" w:hAnsi="Arial" w:cs="Arial"/>
          <w:bCs/>
          <w:color w:val="000000"/>
        </w:rPr>
        <w:t>Los fee mas altos los tienen</w:t>
      </w:r>
      <w:r w:rsidRPr="00B3759C">
        <w:rPr>
          <w:rFonts w:ascii="Arial" w:hAnsi="Arial" w:cs="Arial"/>
          <w:bCs/>
          <w:color w:val="000000"/>
        </w:rPr>
        <w:t xml:space="preserve"> las compañías multinacionales y grandes, son </w:t>
      </w:r>
      <w:r w:rsidR="00EC7728" w:rsidRPr="00B3759C">
        <w:rPr>
          <w:rFonts w:ascii="Arial" w:hAnsi="Arial" w:cs="Arial"/>
          <w:bCs/>
          <w:color w:val="000000"/>
        </w:rPr>
        <w:t>desputados</w:t>
      </w:r>
      <w:r w:rsidRPr="00B3759C">
        <w:rPr>
          <w:rFonts w:ascii="Arial" w:hAnsi="Arial" w:cs="Arial"/>
          <w:bCs/>
          <w:color w:val="000000"/>
        </w:rPr>
        <w:t xml:space="preserve"> por estas empresas, que </w:t>
      </w:r>
      <w:r w:rsidR="00EC7728" w:rsidRPr="00B3759C">
        <w:rPr>
          <w:rFonts w:ascii="Arial" w:hAnsi="Arial" w:cs="Arial"/>
          <w:bCs/>
          <w:color w:val="000000"/>
        </w:rPr>
        <w:t>para ganarse la cuenta</w:t>
      </w:r>
      <w:r w:rsidRPr="00B3759C">
        <w:rPr>
          <w:rFonts w:ascii="Arial" w:hAnsi="Arial" w:cs="Arial"/>
          <w:bCs/>
          <w:color w:val="000000"/>
        </w:rPr>
        <w:t xml:space="preserve"> tienen que ir a través de licitación </w:t>
      </w:r>
      <w:r w:rsidRPr="00B3759C">
        <w:rPr>
          <w:rFonts w:ascii="Arial" w:hAnsi="Arial" w:cs="Arial"/>
          <w:bCs/>
          <w:i/>
          <w:iCs/>
          <w:color w:val="000000"/>
        </w:rPr>
        <w:t>(</w:t>
      </w:r>
      <w:r w:rsidR="00EC7728" w:rsidRPr="00B3759C">
        <w:rPr>
          <w:rFonts w:ascii="Arial" w:hAnsi="Arial" w:cs="Arial"/>
          <w:bCs/>
          <w:i/>
          <w:iCs/>
          <w:color w:val="000000"/>
        </w:rPr>
        <w:t>pitchs</w:t>
      </w:r>
      <w:r w:rsidRPr="00B3759C">
        <w:rPr>
          <w:rFonts w:ascii="Arial" w:hAnsi="Arial" w:cs="Arial"/>
          <w:bCs/>
          <w:i/>
          <w:iCs/>
          <w:color w:val="000000"/>
        </w:rPr>
        <w:t>)</w:t>
      </w:r>
      <w:r w:rsidRPr="00B3759C">
        <w:rPr>
          <w:rFonts w:ascii="Arial" w:hAnsi="Arial" w:cs="Arial"/>
          <w:bCs/>
          <w:color w:val="000000"/>
        </w:rPr>
        <w:t xml:space="preserve"> </w:t>
      </w:r>
      <w:r w:rsidR="00EC7728" w:rsidRPr="00B3759C">
        <w:rPr>
          <w:rFonts w:ascii="Arial" w:hAnsi="Arial" w:cs="Arial"/>
          <w:bCs/>
          <w:color w:val="000000"/>
        </w:rPr>
        <w:t>grandes</w:t>
      </w:r>
      <w:r w:rsidRPr="00B3759C">
        <w:rPr>
          <w:rFonts w:ascii="Arial" w:hAnsi="Arial" w:cs="Arial"/>
          <w:bCs/>
          <w:color w:val="000000"/>
        </w:rPr>
        <w:t xml:space="preserve">, exigente y </w:t>
      </w:r>
      <w:r w:rsidR="00EC7728" w:rsidRPr="00B3759C">
        <w:rPr>
          <w:rFonts w:ascii="Arial" w:hAnsi="Arial" w:cs="Arial"/>
          <w:bCs/>
          <w:color w:val="000000"/>
        </w:rPr>
        <w:t>demorosos,</w:t>
      </w:r>
      <w:r w:rsidRPr="00B3759C">
        <w:rPr>
          <w:rFonts w:ascii="Arial" w:hAnsi="Arial" w:cs="Arial"/>
          <w:bCs/>
          <w:color w:val="000000"/>
        </w:rPr>
        <w:t xml:space="preserve"> en </w:t>
      </w:r>
      <w:r w:rsidR="00EC7728" w:rsidRPr="00B3759C">
        <w:rPr>
          <w:rFonts w:ascii="Arial" w:hAnsi="Arial" w:cs="Arial"/>
          <w:bCs/>
          <w:color w:val="000000"/>
        </w:rPr>
        <w:t>los cuales</w:t>
      </w:r>
      <w:r w:rsidRPr="00B3759C">
        <w:rPr>
          <w:rFonts w:ascii="Arial" w:hAnsi="Arial" w:cs="Arial"/>
          <w:bCs/>
          <w:color w:val="000000"/>
        </w:rPr>
        <w:t>, en la mayoría de los casos, la agencia actual (que trabaja con la empresa en el momento de la competencia) también se llama para competir.</w:t>
      </w:r>
    </w:p>
    <w:p w14:paraId="6765CFEA" w14:textId="77777777" w:rsidR="00EC7728" w:rsidRPr="00B967DF" w:rsidRDefault="00EC7728" w:rsidP="00FC3344">
      <w:pPr>
        <w:spacing w:line="276" w:lineRule="atLeast"/>
        <w:rPr>
          <w:rFonts w:ascii="Arial" w:hAnsi="Arial" w:cs="Arial"/>
          <w:b/>
          <w:bCs/>
          <w:color w:val="000000"/>
        </w:rPr>
      </w:pPr>
    </w:p>
    <w:p w14:paraId="140C96F3" w14:textId="47E628B6" w:rsidR="001B2D93" w:rsidRPr="00B967DF" w:rsidRDefault="001B2D93" w:rsidP="00FC3344">
      <w:pPr>
        <w:pStyle w:val="ListParagraph"/>
        <w:numPr>
          <w:ilvl w:val="0"/>
          <w:numId w:val="41"/>
        </w:numPr>
        <w:spacing w:line="276" w:lineRule="atLeast"/>
        <w:rPr>
          <w:rFonts w:ascii="Arial" w:hAnsi="Arial" w:cs="Arial"/>
          <w:color w:val="000000"/>
        </w:rPr>
      </w:pPr>
      <w:r w:rsidRPr="00B967DF">
        <w:rPr>
          <w:rFonts w:ascii="Arial" w:hAnsi="Arial" w:cs="Arial"/>
          <w:b/>
          <w:bCs/>
          <w:color w:val="000000"/>
        </w:rPr>
        <w:t>Amenaza de productos sustitutivos:</w:t>
      </w:r>
      <w:r w:rsidRPr="00B967DF">
        <w:rPr>
          <w:rFonts w:ascii="Arial" w:hAnsi="Arial" w:cs="Arial"/>
          <w:color w:val="000000"/>
        </w:rPr>
        <w:t> en una industria cada vez más exigente para innovar, la inversión en inteligencia de datos, herramientas de medición / seguimiento, CRM y la tecnología en general, se convierte en un diferencial. Y invertir en tecnología es caro, ya que implica no sólo los productos, sino también las personas calificadas para manejar el tema.</w:t>
      </w:r>
    </w:p>
    <w:p w14:paraId="63B4ACC0" w14:textId="77777777" w:rsidR="00EC7728" w:rsidRPr="00B967DF" w:rsidRDefault="00EC7728" w:rsidP="00FC3344">
      <w:pPr>
        <w:spacing w:line="276" w:lineRule="atLeast"/>
        <w:rPr>
          <w:rFonts w:ascii="Arial" w:hAnsi="Arial" w:cs="Arial"/>
          <w:color w:val="000000"/>
        </w:rPr>
      </w:pPr>
    </w:p>
    <w:p w14:paraId="4207A079" w14:textId="1053F8C9" w:rsidR="001B2D93" w:rsidRPr="00B967DF" w:rsidRDefault="001B2D93" w:rsidP="00FC3344">
      <w:pPr>
        <w:pStyle w:val="ListParagraph"/>
        <w:numPr>
          <w:ilvl w:val="0"/>
          <w:numId w:val="41"/>
        </w:numPr>
        <w:spacing w:line="276" w:lineRule="atLeast"/>
        <w:rPr>
          <w:rFonts w:ascii="Arial" w:hAnsi="Arial" w:cs="Arial"/>
          <w:color w:val="000000"/>
        </w:rPr>
      </w:pPr>
      <w:r w:rsidRPr="00B967DF">
        <w:rPr>
          <w:rFonts w:ascii="Arial" w:hAnsi="Arial" w:cs="Arial"/>
          <w:b/>
          <w:bCs/>
          <w:color w:val="000000"/>
        </w:rPr>
        <w:t>Poder de negociación de los clientes:</w:t>
      </w:r>
      <w:r w:rsidRPr="00B967DF">
        <w:rPr>
          <w:rFonts w:ascii="Arial" w:hAnsi="Arial" w:cs="Arial"/>
          <w:color w:val="000000"/>
        </w:rPr>
        <w:t> los anteriores (intensidad de los competidores) ya deja claro por qué esto podría afectar al sector. Los clientes que continúan trabajando con una agencia, usar su poder para negociar tarifas más bajas, lo que significa, en la mayoría de los casos, menor alcance del trabajo.</w:t>
      </w:r>
    </w:p>
    <w:p w14:paraId="007BE601" w14:textId="77777777" w:rsidR="0056609D" w:rsidRPr="00B967DF" w:rsidRDefault="0056609D" w:rsidP="00FC3344">
      <w:pPr>
        <w:spacing w:line="276" w:lineRule="atLeast"/>
        <w:rPr>
          <w:rFonts w:ascii="Arial" w:hAnsi="Arial" w:cs="Arial"/>
          <w:color w:val="000000"/>
        </w:rPr>
      </w:pPr>
    </w:p>
    <w:p w14:paraId="39A424A3" w14:textId="7BA70F50" w:rsidR="001B2D93" w:rsidRPr="00B967DF" w:rsidRDefault="001B2D93" w:rsidP="00FC3344">
      <w:pPr>
        <w:pStyle w:val="ListParagraph"/>
        <w:numPr>
          <w:ilvl w:val="0"/>
          <w:numId w:val="41"/>
        </w:numPr>
        <w:spacing w:after="200" w:line="276" w:lineRule="atLeast"/>
        <w:rPr>
          <w:rFonts w:ascii="Arial" w:hAnsi="Arial" w:cs="Arial"/>
          <w:color w:val="000000"/>
        </w:rPr>
      </w:pPr>
      <w:r w:rsidRPr="00B967DF">
        <w:rPr>
          <w:rFonts w:ascii="Arial" w:hAnsi="Arial" w:cs="Arial"/>
          <w:b/>
          <w:bCs/>
          <w:color w:val="000000"/>
        </w:rPr>
        <w:t>El poder de negociación de los proveedores:</w:t>
      </w:r>
      <w:r w:rsidRPr="00B967DF">
        <w:rPr>
          <w:rFonts w:ascii="Arial" w:hAnsi="Arial" w:cs="Arial"/>
          <w:color w:val="000000"/>
        </w:rPr>
        <w:t xml:space="preserve"> La mayoría de los </w:t>
      </w:r>
      <w:r w:rsidR="00EC7728" w:rsidRPr="00B967DF">
        <w:rPr>
          <w:rFonts w:ascii="Arial" w:hAnsi="Arial" w:cs="Arial"/>
          <w:color w:val="000000"/>
        </w:rPr>
        <w:t>proveedores</w:t>
      </w:r>
      <w:r w:rsidRPr="00B967DF">
        <w:rPr>
          <w:rFonts w:ascii="Arial" w:hAnsi="Arial" w:cs="Arial"/>
          <w:color w:val="000000"/>
        </w:rPr>
        <w:t xml:space="preserve"> no tienen mucho margen de negociación con las agencias y consultor</w:t>
      </w:r>
      <w:r w:rsidR="00EC7728" w:rsidRPr="00B967DF">
        <w:rPr>
          <w:rFonts w:ascii="Arial" w:hAnsi="Arial" w:cs="Arial"/>
          <w:color w:val="000000"/>
        </w:rPr>
        <w:t>a</w:t>
      </w:r>
      <w:r w:rsidRPr="00B967DF">
        <w:rPr>
          <w:rFonts w:ascii="Arial" w:hAnsi="Arial" w:cs="Arial"/>
          <w:color w:val="000000"/>
        </w:rPr>
        <w:t xml:space="preserve">s. Pero, como </w:t>
      </w:r>
      <w:r w:rsidR="00EC7728" w:rsidRPr="00B967DF">
        <w:rPr>
          <w:rFonts w:ascii="Arial" w:hAnsi="Arial" w:cs="Arial"/>
          <w:color w:val="000000"/>
        </w:rPr>
        <w:t>se adelanta</w:t>
      </w:r>
      <w:r w:rsidRPr="00B967DF">
        <w:rPr>
          <w:rFonts w:ascii="Arial" w:hAnsi="Arial" w:cs="Arial"/>
          <w:color w:val="000000"/>
        </w:rPr>
        <w:t xml:space="preserve"> arriba, productos relacionados a la tecnología pueden sí demandar del sector un mayor poder a la hora de la contratación.</w:t>
      </w:r>
    </w:p>
    <w:p w14:paraId="691E6385" w14:textId="6C4AE584" w:rsidR="001B2D93" w:rsidRPr="00B967DF" w:rsidRDefault="001B2D93" w:rsidP="00830289">
      <w:pPr>
        <w:spacing w:after="200" w:line="276" w:lineRule="atLeast"/>
        <w:rPr>
          <w:rFonts w:ascii="Arial" w:hAnsi="Arial" w:cs="Arial"/>
          <w:color w:val="000000"/>
        </w:rPr>
      </w:pPr>
      <w:r w:rsidRPr="00B967DF">
        <w:rPr>
          <w:rFonts w:ascii="Arial" w:hAnsi="Arial" w:cs="Arial"/>
          <w:color w:val="000000"/>
        </w:rPr>
        <w:t>La fuerza </w:t>
      </w:r>
      <w:r w:rsidRPr="00B967DF">
        <w:rPr>
          <w:rFonts w:ascii="Arial" w:hAnsi="Arial" w:cs="Arial"/>
          <w:b/>
          <w:bCs/>
          <w:color w:val="000000"/>
        </w:rPr>
        <w:t xml:space="preserve">de los nuevos </w:t>
      </w:r>
      <w:r w:rsidR="0056609D" w:rsidRPr="00B967DF">
        <w:rPr>
          <w:rFonts w:ascii="Arial" w:hAnsi="Arial" w:cs="Arial"/>
          <w:b/>
          <w:bCs/>
          <w:color w:val="000000"/>
        </w:rPr>
        <w:t>actores</w:t>
      </w:r>
      <w:r w:rsidRPr="00B967DF">
        <w:rPr>
          <w:rFonts w:ascii="Arial" w:hAnsi="Arial" w:cs="Arial"/>
          <w:b/>
          <w:bCs/>
          <w:color w:val="000000"/>
        </w:rPr>
        <w:t xml:space="preserve"> </w:t>
      </w:r>
      <w:r w:rsidRPr="00B967DF">
        <w:rPr>
          <w:rFonts w:ascii="Arial" w:hAnsi="Arial" w:cs="Arial"/>
          <w:color w:val="000000"/>
        </w:rPr>
        <w:t xml:space="preserve">no afecta mucho al sector. En el pasado, las agencias temían por la entrada de grupos extranjeros en el mercado, además de la llegada de agencias de publicidad a las competencias. Al final, al menos por ahora, los grupos extranjeros, tras la compra de empresas nacionales o consolidar su posición, siguen </w:t>
      </w:r>
      <w:r w:rsidR="0056609D" w:rsidRPr="00B967DF">
        <w:rPr>
          <w:rFonts w:ascii="Arial" w:hAnsi="Arial" w:cs="Arial"/>
          <w:color w:val="000000"/>
        </w:rPr>
        <w:t>disputando</w:t>
      </w:r>
      <w:r w:rsidRPr="00B967DF">
        <w:rPr>
          <w:rFonts w:ascii="Arial" w:hAnsi="Arial" w:cs="Arial"/>
          <w:color w:val="000000"/>
        </w:rPr>
        <w:t xml:space="preserve"> las oportunidades de negocio, especialmente entre las grandes empresas, y el segundo factor (agencias de publicidad que compiten con las agencias de comunicaciones corporativas y Relaciones públicas) tardará en tomar forma, siendo una amenaza lejana.</w:t>
      </w:r>
    </w:p>
    <w:p w14:paraId="4C3E9B5A" w14:textId="063BE672" w:rsidR="0056609D" w:rsidRPr="00B967DF" w:rsidRDefault="001B2D93" w:rsidP="00830289">
      <w:pPr>
        <w:spacing w:after="200" w:line="276" w:lineRule="atLeast"/>
        <w:rPr>
          <w:rFonts w:ascii="Arial" w:hAnsi="Arial" w:cs="Arial"/>
          <w:color w:val="000000"/>
        </w:rPr>
      </w:pPr>
      <w:r w:rsidRPr="00B967DF">
        <w:rPr>
          <w:rFonts w:ascii="Arial" w:hAnsi="Arial" w:cs="Arial"/>
          <w:color w:val="000000"/>
        </w:rPr>
        <w:t>Además de las cinco fuerzas originales, la </w:t>
      </w:r>
      <w:r w:rsidRPr="00B967DF">
        <w:rPr>
          <w:rFonts w:ascii="Arial" w:hAnsi="Arial" w:cs="Arial"/>
          <w:b/>
          <w:bCs/>
          <w:color w:val="000000"/>
        </w:rPr>
        <w:t>digitalización</w:t>
      </w:r>
      <w:r w:rsidRPr="00B967DF">
        <w:rPr>
          <w:rFonts w:ascii="Arial" w:hAnsi="Arial" w:cs="Arial"/>
          <w:color w:val="000000"/>
        </w:rPr>
        <w:t> y </w:t>
      </w:r>
      <w:r w:rsidRPr="00B967DF">
        <w:rPr>
          <w:rFonts w:ascii="Arial" w:hAnsi="Arial" w:cs="Arial"/>
          <w:b/>
          <w:bCs/>
          <w:color w:val="000000"/>
        </w:rPr>
        <w:t>la globalización</w:t>
      </w:r>
      <w:r w:rsidRPr="00B967DF">
        <w:rPr>
          <w:rFonts w:ascii="Arial" w:hAnsi="Arial" w:cs="Arial"/>
          <w:color w:val="000000"/>
        </w:rPr>
        <w:t xml:space="preserve"> afectan directamente a las agencias y consultorías. A continuación, este análisis se </w:t>
      </w:r>
      <w:r w:rsidRPr="00B967DF">
        <w:rPr>
          <w:rFonts w:ascii="Arial" w:hAnsi="Arial" w:cs="Arial"/>
          <w:color w:val="000000"/>
        </w:rPr>
        <w:lastRenderedPageBreak/>
        <w:t>profundizará sobre las principales razones por las cuales estas 6 fuerzas (4 originales y 2 posteriores) poseen sinergia con el sector, especialmente en Brasil.</w:t>
      </w:r>
    </w:p>
    <w:p w14:paraId="2A6A1E83" w14:textId="77777777" w:rsidR="001B2D93" w:rsidRPr="00B967DF" w:rsidRDefault="001B2D93" w:rsidP="00830289">
      <w:pPr>
        <w:spacing w:after="200" w:line="276" w:lineRule="atLeast"/>
        <w:rPr>
          <w:rFonts w:ascii="Arial" w:hAnsi="Arial" w:cs="Arial"/>
          <w:color w:val="000000"/>
        </w:rPr>
      </w:pPr>
      <w:r w:rsidRPr="00B967DF">
        <w:rPr>
          <w:rFonts w:ascii="Arial" w:hAnsi="Arial" w:cs="Arial"/>
          <w:color w:val="000000"/>
          <w:u w:val="single"/>
        </w:rPr>
        <w:t>Intensidad de los competidores</w:t>
      </w:r>
    </w:p>
    <w:p w14:paraId="442159C9" w14:textId="42122827" w:rsidR="001B2D93" w:rsidRPr="00B967DF" w:rsidRDefault="001B2D93" w:rsidP="00830289">
      <w:pPr>
        <w:spacing w:after="200" w:line="276" w:lineRule="atLeast"/>
        <w:rPr>
          <w:rFonts w:ascii="Arial" w:hAnsi="Arial" w:cs="Arial"/>
          <w:color w:val="000000"/>
        </w:rPr>
      </w:pPr>
      <w:r w:rsidRPr="00B967DF">
        <w:rPr>
          <w:rFonts w:ascii="Arial" w:hAnsi="Arial" w:cs="Arial"/>
          <w:color w:val="000000"/>
        </w:rPr>
        <w:t>Además de lo que ya se ha detallado anteriormente en este tema, hay que entender un factor esencial para el sector: el principal activo de una empresa de servicios profesionales, como una agencia de comunicación corporativa / relaciones públicas, son las personas. Los profesionales cualificados, expertos y con experiencia hacen la diferencia en un trabajo que demanda mucho de la capacidad de gestión de la relación: controlar las expectativas del cliente es tan o más importante que entregar un producto o solución</w:t>
      </w:r>
      <w:r w:rsidR="0056609D" w:rsidRPr="00B967DF">
        <w:rPr>
          <w:rFonts w:ascii="Arial" w:hAnsi="Arial" w:cs="Arial"/>
          <w:color w:val="000000"/>
        </w:rPr>
        <w:t xml:space="preserve"> de calidad</w:t>
      </w:r>
      <w:r w:rsidRPr="00B967DF">
        <w:rPr>
          <w:rFonts w:ascii="Arial" w:hAnsi="Arial" w:cs="Arial"/>
          <w:color w:val="000000"/>
        </w:rPr>
        <w:t>.</w:t>
      </w:r>
    </w:p>
    <w:p w14:paraId="4E7E57D3" w14:textId="1664CA7B" w:rsidR="001B2D93" w:rsidRPr="00B967DF" w:rsidRDefault="001B2D93" w:rsidP="00830289">
      <w:pPr>
        <w:spacing w:after="200" w:line="276" w:lineRule="atLeast"/>
        <w:rPr>
          <w:rFonts w:ascii="Arial" w:hAnsi="Arial" w:cs="Arial"/>
          <w:color w:val="000000"/>
        </w:rPr>
      </w:pPr>
      <w:r w:rsidRPr="00B967DF">
        <w:rPr>
          <w:rFonts w:ascii="Arial" w:hAnsi="Arial" w:cs="Arial"/>
          <w:color w:val="000000"/>
        </w:rPr>
        <w:t xml:space="preserve">Una buena gestión de la relación no sólo garantiza una entrega de calidad, sino que también mantiene al cliente </w:t>
      </w:r>
      <w:r w:rsidR="0056609D" w:rsidRPr="00B967DF">
        <w:rPr>
          <w:rFonts w:ascii="Arial" w:hAnsi="Arial" w:cs="Arial"/>
          <w:color w:val="000000"/>
        </w:rPr>
        <w:t xml:space="preserve">tranquilo </w:t>
      </w:r>
      <w:r w:rsidRPr="00B967DF">
        <w:rPr>
          <w:rFonts w:ascii="Arial" w:hAnsi="Arial" w:cs="Arial"/>
          <w:color w:val="000000"/>
        </w:rPr>
        <w:t>y proporciona la confianza para que el mismo cliente ofrezca otras oportunidades de trabajo.</w:t>
      </w:r>
    </w:p>
    <w:p w14:paraId="5FFC1164" w14:textId="77777777" w:rsidR="001B2D93" w:rsidRPr="00B967DF" w:rsidRDefault="001B2D93" w:rsidP="00830289">
      <w:pPr>
        <w:spacing w:after="200" w:line="276" w:lineRule="atLeast"/>
        <w:rPr>
          <w:rFonts w:ascii="Arial" w:hAnsi="Arial" w:cs="Arial"/>
          <w:color w:val="000000"/>
        </w:rPr>
      </w:pPr>
      <w:r w:rsidRPr="00B967DF">
        <w:rPr>
          <w:rFonts w:ascii="Arial" w:hAnsi="Arial" w:cs="Arial"/>
          <w:color w:val="000000"/>
        </w:rPr>
        <w:t>De esta forma, los competidores - principalmente los TOP 20 con mayor facturación, se dedican a la guerra por el talento: ofertas de trabajo con salarios mayores para los mejores profesionales, que a su vez, no perciben que la forma más eficiente de llegar a cargos de nivel más alto es, en la mayoría de las veces, apostando en un plan de carrera en una agencia o consultoría sólida.</w:t>
      </w:r>
    </w:p>
    <w:p w14:paraId="64341E11" w14:textId="620928E0" w:rsidR="001B2D93" w:rsidRPr="00B967DF" w:rsidRDefault="001B2D93" w:rsidP="00830289">
      <w:pPr>
        <w:spacing w:after="200" w:line="276" w:lineRule="atLeast"/>
        <w:rPr>
          <w:rFonts w:ascii="Arial" w:hAnsi="Arial" w:cs="Arial"/>
          <w:color w:val="000000"/>
        </w:rPr>
      </w:pPr>
      <w:r w:rsidRPr="00B967DF">
        <w:rPr>
          <w:rFonts w:ascii="Arial" w:hAnsi="Arial" w:cs="Arial"/>
          <w:color w:val="000000"/>
        </w:rPr>
        <w:t xml:space="preserve">Otro factor importante relacionado con esta fuerza es la capacidad de diversificar los servicios. Si antes de que los clientes tenían la necesidad de tener sólo una </w:t>
      </w:r>
      <w:r w:rsidR="005F53A1" w:rsidRPr="00B967DF">
        <w:rPr>
          <w:rFonts w:ascii="Arial" w:hAnsi="Arial" w:cs="Arial"/>
          <w:color w:val="000000"/>
        </w:rPr>
        <w:t>asesoría</w:t>
      </w:r>
      <w:r w:rsidRPr="00B967DF">
        <w:rPr>
          <w:rFonts w:ascii="Arial" w:hAnsi="Arial" w:cs="Arial"/>
          <w:color w:val="000000"/>
        </w:rPr>
        <w:t xml:space="preserve"> de prensa, hoy también necesitan otras especialidades </w:t>
      </w:r>
      <w:r w:rsidR="005F53A1" w:rsidRPr="00B967DF">
        <w:rPr>
          <w:rFonts w:ascii="Arial" w:hAnsi="Arial" w:cs="Arial"/>
          <w:color w:val="000000"/>
        </w:rPr>
        <w:t xml:space="preserve">como Digital, Advocacy, Consumer Engagement, Medición, entre otras. </w:t>
      </w:r>
      <w:r w:rsidRPr="00B967DF">
        <w:rPr>
          <w:rFonts w:ascii="Arial" w:hAnsi="Arial" w:cs="Arial"/>
          <w:color w:val="000000"/>
        </w:rPr>
        <w:t>Cada una de estas áreas proporciona una mirada diferente y única para el "problema" del cliente.</w:t>
      </w:r>
    </w:p>
    <w:p w14:paraId="58F83262" w14:textId="77777777" w:rsidR="005F53A1" w:rsidRPr="00B967DF" w:rsidRDefault="005F53A1" w:rsidP="00830289">
      <w:pPr>
        <w:spacing w:after="200" w:line="276" w:lineRule="atLeast"/>
        <w:rPr>
          <w:rFonts w:ascii="Arial" w:hAnsi="Arial" w:cs="Arial"/>
          <w:color w:val="000000"/>
        </w:rPr>
      </w:pPr>
      <w:r w:rsidRPr="00B967DF">
        <w:rPr>
          <w:rFonts w:ascii="Arial" w:hAnsi="Arial" w:cs="Arial"/>
          <w:color w:val="000000"/>
        </w:rPr>
        <w:t>Las TOP 20 invirtieron en aumentar el abanico de servicios y, sumada a una gestión eficiente de la relación con los clientes, les hizo que hoy estuvieran mejor posicionadas y, con ello, tuvieran más visibilidad a la hora de ofrecer un proyecto de nuevo negocio.</w:t>
      </w:r>
    </w:p>
    <w:p w14:paraId="41D54762" w14:textId="4ADE9B4A" w:rsidR="001B2D93" w:rsidRPr="00B967DF" w:rsidRDefault="001B2D93" w:rsidP="00830289">
      <w:pPr>
        <w:spacing w:after="200" w:line="276" w:lineRule="atLeast"/>
        <w:rPr>
          <w:rFonts w:ascii="Arial" w:hAnsi="Arial" w:cs="Arial"/>
          <w:color w:val="000000"/>
        </w:rPr>
      </w:pPr>
      <w:r w:rsidRPr="00B967DF">
        <w:rPr>
          <w:rFonts w:ascii="Arial" w:hAnsi="Arial" w:cs="Arial"/>
          <w:color w:val="000000"/>
          <w:u w:val="single"/>
        </w:rPr>
        <w:t>Amenaza de productos sustitutivos</w:t>
      </w:r>
    </w:p>
    <w:p w14:paraId="2E205C3C" w14:textId="4DC8BD98" w:rsidR="001B2D93" w:rsidRPr="00B967DF" w:rsidRDefault="001B2D93" w:rsidP="00830289">
      <w:pPr>
        <w:spacing w:after="200" w:line="276" w:lineRule="atLeast"/>
        <w:rPr>
          <w:rFonts w:ascii="Arial" w:hAnsi="Arial" w:cs="Arial"/>
          <w:color w:val="000000"/>
        </w:rPr>
      </w:pPr>
      <w:r w:rsidRPr="00B967DF">
        <w:rPr>
          <w:rFonts w:ascii="Arial" w:hAnsi="Arial" w:cs="Arial"/>
          <w:color w:val="000000"/>
        </w:rPr>
        <w:t>El sector de Comunicación Corporativa / Relaciones Públicas enfrenta, al igual que todos los demás sectores de la economía, el desafío de la Transformación Digital. La manera de identificar objetivos, recoger datos y afectar a un público objetivo ahora depende de la tecnología y </w:t>
      </w:r>
      <w:r w:rsidR="005F53A1" w:rsidRPr="00B967DF">
        <w:rPr>
          <w:rFonts w:ascii="Arial" w:hAnsi="Arial" w:cs="Arial"/>
          <w:color w:val="000000"/>
        </w:rPr>
        <w:t>del know how sobre cada producto</w:t>
      </w:r>
      <w:r w:rsidRPr="00B967DF">
        <w:rPr>
          <w:rFonts w:ascii="Arial" w:hAnsi="Arial" w:cs="Arial"/>
          <w:color w:val="000000"/>
        </w:rPr>
        <w:t xml:space="preserve"> o servicio especializado.</w:t>
      </w:r>
    </w:p>
    <w:p w14:paraId="2A7F3746" w14:textId="291E4E8E" w:rsidR="001B2D93" w:rsidRPr="00B967DF" w:rsidRDefault="001B2D93" w:rsidP="00830289">
      <w:pPr>
        <w:spacing w:after="200" w:line="276" w:lineRule="atLeast"/>
        <w:rPr>
          <w:rFonts w:ascii="Arial" w:hAnsi="Arial" w:cs="Arial"/>
          <w:color w:val="000000"/>
        </w:rPr>
      </w:pPr>
      <w:r w:rsidRPr="00B967DF">
        <w:rPr>
          <w:rFonts w:ascii="Arial" w:hAnsi="Arial" w:cs="Arial"/>
          <w:color w:val="000000"/>
        </w:rPr>
        <w:t>con ciclos cada vez menores de aprendizaje y adaptación a una nueva cultura, herramienta o estrategia, que son sustituidas rápidamente por una nueva tecnología, las agencias y consultorías son demandadas a aprender y continuar invirtiendo, para no perder ventaja competitiva.</w:t>
      </w:r>
    </w:p>
    <w:p w14:paraId="6D784B39" w14:textId="77777777" w:rsidR="001B2D93" w:rsidRPr="00B967DF" w:rsidRDefault="001B2D93" w:rsidP="00830289">
      <w:pPr>
        <w:spacing w:after="200" w:line="276" w:lineRule="atLeast"/>
        <w:rPr>
          <w:rFonts w:ascii="Arial" w:hAnsi="Arial" w:cs="Arial"/>
          <w:color w:val="000000"/>
        </w:rPr>
      </w:pPr>
      <w:r w:rsidRPr="00B967DF">
        <w:rPr>
          <w:rFonts w:ascii="Arial" w:hAnsi="Arial" w:cs="Arial"/>
          <w:color w:val="000000"/>
          <w:u w:val="single"/>
        </w:rPr>
        <w:t>Poder de negociación con los clientes</w:t>
      </w:r>
    </w:p>
    <w:p w14:paraId="3AEABEE5" w14:textId="77777777" w:rsidR="001B2D93" w:rsidRPr="00B967DF" w:rsidRDefault="001B2D93" w:rsidP="00830289">
      <w:pPr>
        <w:spacing w:after="200" w:line="276" w:lineRule="atLeast"/>
        <w:rPr>
          <w:rFonts w:ascii="Arial" w:hAnsi="Arial" w:cs="Arial"/>
          <w:color w:val="000000"/>
        </w:rPr>
      </w:pPr>
      <w:r w:rsidRPr="00B967DF">
        <w:rPr>
          <w:rFonts w:ascii="Arial" w:hAnsi="Arial" w:cs="Arial"/>
          <w:color w:val="000000"/>
        </w:rPr>
        <w:t>Existen dos modelos básicos de contratación de un servicio de agencia o consultoría por un cliente:</w:t>
      </w:r>
    </w:p>
    <w:p w14:paraId="5AAA3453" w14:textId="3D829DDD" w:rsidR="001B2D93" w:rsidRPr="00B967DF" w:rsidRDefault="004C0E66" w:rsidP="00830289">
      <w:pPr>
        <w:numPr>
          <w:ilvl w:val="0"/>
          <w:numId w:val="36"/>
        </w:numPr>
        <w:spacing w:line="276" w:lineRule="atLeast"/>
        <w:ind w:left="527" w:firstLine="0"/>
        <w:rPr>
          <w:rFonts w:ascii="Arial" w:hAnsi="Arial" w:cs="Arial"/>
          <w:color w:val="000000"/>
        </w:rPr>
      </w:pPr>
      <w:r w:rsidRPr="00B967DF">
        <w:rPr>
          <w:rFonts w:ascii="Arial" w:hAnsi="Arial" w:cs="Arial"/>
          <w:b/>
          <w:bCs/>
          <w:color w:val="000000"/>
        </w:rPr>
        <w:lastRenderedPageBreak/>
        <w:t>Fee</w:t>
      </w:r>
      <w:r w:rsidR="001B2D93" w:rsidRPr="00B967DF">
        <w:rPr>
          <w:rFonts w:ascii="Arial" w:hAnsi="Arial" w:cs="Arial"/>
          <w:b/>
          <w:bCs/>
          <w:color w:val="000000"/>
        </w:rPr>
        <w:t xml:space="preserve">: </w:t>
      </w:r>
      <w:r w:rsidRPr="00B967DF">
        <w:rPr>
          <w:rFonts w:ascii="Arial" w:hAnsi="Arial" w:cs="Arial"/>
          <w:bCs/>
          <w:color w:val="000000"/>
        </w:rPr>
        <w:t>pago fijo, estipulado en contratos de 12 meses o más</w:t>
      </w:r>
      <w:r w:rsidRPr="00B967DF">
        <w:rPr>
          <w:rFonts w:ascii="Arial" w:hAnsi="Arial" w:cs="Arial"/>
          <w:b/>
          <w:bCs/>
          <w:color w:val="000000"/>
        </w:rPr>
        <w:t xml:space="preserve">. </w:t>
      </w:r>
      <w:r w:rsidR="001B2D93" w:rsidRPr="00B967DF">
        <w:rPr>
          <w:rFonts w:ascii="Arial" w:hAnsi="Arial" w:cs="Arial"/>
          <w:color w:val="000000"/>
        </w:rPr>
        <w:t>Son menores si se compara con los valores de proyecto</w:t>
      </w:r>
    </w:p>
    <w:p w14:paraId="4EA64BE3" w14:textId="28EE671A" w:rsidR="001B2D93" w:rsidRPr="00B967DF" w:rsidRDefault="001B2D93" w:rsidP="00830289">
      <w:pPr>
        <w:numPr>
          <w:ilvl w:val="0"/>
          <w:numId w:val="36"/>
        </w:numPr>
        <w:spacing w:after="200" w:line="276" w:lineRule="atLeast"/>
        <w:ind w:left="527" w:firstLine="0"/>
        <w:rPr>
          <w:rFonts w:ascii="Arial" w:hAnsi="Arial" w:cs="Arial"/>
          <w:color w:val="000000"/>
        </w:rPr>
      </w:pPr>
      <w:r w:rsidRPr="00B967DF">
        <w:rPr>
          <w:rFonts w:ascii="Arial" w:hAnsi="Arial" w:cs="Arial"/>
          <w:b/>
          <w:bCs/>
          <w:color w:val="000000"/>
        </w:rPr>
        <w:t>Proyecto:</w:t>
      </w:r>
      <w:r w:rsidRPr="00B967DF">
        <w:rPr>
          <w:rFonts w:ascii="Arial" w:hAnsi="Arial" w:cs="Arial"/>
          <w:color w:val="000000"/>
        </w:rPr>
        <w:t xml:space="preserve"> pago en un menor número de meses, que duran entre 3 y 6 meses normalmente.</w:t>
      </w:r>
    </w:p>
    <w:p w14:paraId="5CBA2758" w14:textId="77777777" w:rsidR="001B2D93" w:rsidRPr="00B967DF" w:rsidRDefault="001B2D93" w:rsidP="00830289">
      <w:pPr>
        <w:spacing w:after="200" w:line="276" w:lineRule="atLeast"/>
        <w:rPr>
          <w:rFonts w:ascii="Arial" w:hAnsi="Arial" w:cs="Arial"/>
          <w:color w:val="000000"/>
        </w:rPr>
      </w:pPr>
      <w:r w:rsidRPr="00B967DF">
        <w:rPr>
          <w:rFonts w:ascii="Arial" w:hAnsi="Arial" w:cs="Arial"/>
          <w:color w:val="000000"/>
        </w:rPr>
        <w:t>El primer modelo garantiza una mayor seguridad para que una agencia pueda invertir en su negocio y el segundo da mayor oportunidad para que la misma agencia pueda generar valor al cliente a través de proyectos diferentes que demandan innovación y, a menudo, tecnología.</w:t>
      </w:r>
    </w:p>
    <w:p w14:paraId="6C8439AD" w14:textId="1F7DB194" w:rsidR="001B2D93" w:rsidRPr="00B967DF" w:rsidRDefault="001B2D93" w:rsidP="00830289">
      <w:pPr>
        <w:spacing w:after="200" w:line="276" w:lineRule="atLeast"/>
        <w:rPr>
          <w:rFonts w:ascii="Arial" w:hAnsi="Arial" w:cs="Arial"/>
          <w:color w:val="000000"/>
        </w:rPr>
      </w:pPr>
      <w:r w:rsidRPr="00B967DF">
        <w:rPr>
          <w:rFonts w:ascii="Arial" w:hAnsi="Arial" w:cs="Arial"/>
          <w:color w:val="000000"/>
        </w:rPr>
        <w:t>Una tendencia informal en la industria es el aumento en la contratación de proyectos, en comparación con l</w:t>
      </w:r>
      <w:r w:rsidR="004C0E66" w:rsidRPr="00B967DF">
        <w:rPr>
          <w:rFonts w:ascii="Arial" w:hAnsi="Arial" w:cs="Arial"/>
          <w:color w:val="000000"/>
        </w:rPr>
        <w:t>os fees</w:t>
      </w:r>
      <w:r w:rsidRPr="00B967DF">
        <w:rPr>
          <w:rFonts w:ascii="Arial" w:hAnsi="Arial" w:cs="Arial"/>
          <w:color w:val="000000"/>
        </w:rPr>
        <w:t>, que a su vez disminuye la seguridad de Inves</w:t>
      </w:r>
      <w:r w:rsidR="00203202" w:rsidRPr="00B967DF">
        <w:rPr>
          <w:rFonts w:ascii="Arial" w:hAnsi="Arial" w:cs="Arial"/>
          <w:color w:val="000000"/>
        </w:rPr>
        <w:t>m</w:t>
      </w:r>
      <w:r w:rsidRPr="00B967DF">
        <w:rPr>
          <w:rFonts w:ascii="Arial" w:hAnsi="Arial" w:cs="Arial"/>
          <w:color w:val="000000"/>
        </w:rPr>
        <w:t xml:space="preserve">ent por </w:t>
      </w:r>
      <w:r w:rsidR="00203202" w:rsidRPr="00B967DF">
        <w:rPr>
          <w:rFonts w:ascii="Arial" w:hAnsi="Arial" w:cs="Arial"/>
          <w:color w:val="000000"/>
        </w:rPr>
        <w:t xml:space="preserve">parte de </w:t>
      </w:r>
      <w:r w:rsidRPr="00B967DF">
        <w:rPr>
          <w:rFonts w:ascii="Arial" w:hAnsi="Arial" w:cs="Arial"/>
          <w:color w:val="000000"/>
        </w:rPr>
        <w:t>las empresas. Las agencias no tienen</w:t>
      </w:r>
      <w:r w:rsidR="00203202" w:rsidRPr="00B967DF">
        <w:rPr>
          <w:rFonts w:ascii="Arial" w:hAnsi="Arial" w:cs="Arial"/>
          <w:color w:val="000000"/>
        </w:rPr>
        <w:t xml:space="preserve"> mucho</w:t>
      </w:r>
      <w:r w:rsidRPr="00B967DF">
        <w:rPr>
          <w:rFonts w:ascii="Arial" w:hAnsi="Arial" w:cs="Arial"/>
          <w:color w:val="000000"/>
        </w:rPr>
        <w:t xml:space="preserve"> qué hacer en relación </w:t>
      </w:r>
      <w:r w:rsidR="00203202" w:rsidRPr="00B967DF">
        <w:rPr>
          <w:rFonts w:ascii="Arial" w:hAnsi="Arial" w:cs="Arial"/>
          <w:color w:val="000000"/>
        </w:rPr>
        <w:t>a</w:t>
      </w:r>
      <w:r w:rsidRPr="00B967DF">
        <w:rPr>
          <w:rFonts w:ascii="Arial" w:hAnsi="Arial" w:cs="Arial"/>
          <w:color w:val="000000"/>
        </w:rPr>
        <w:t xml:space="preserve"> eso, a no ser que se adapte.</w:t>
      </w:r>
    </w:p>
    <w:p w14:paraId="27A59277" w14:textId="00F2F9F8" w:rsidR="001B2D93" w:rsidRPr="00B967DF" w:rsidRDefault="00203202" w:rsidP="00830289">
      <w:pPr>
        <w:spacing w:after="200" w:line="276" w:lineRule="atLeast"/>
        <w:rPr>
          <w:rFonts w:ascii="Arial" w:hAnsi="Arial" w:cs="Arial"/>
          <w:color w:val="000000"/>
        </w:rPr>
      </w:pPr>
      <w:r w:rsidRPr="00B967DF">
        <w:rPr>
          <w:rFonts w:ascii="Arial" w:hAnsi="Arial" w:cs="Arial"/>
          <w:color w:val="000000"/>
        </w:rPr>
        <w:t>Además, otro factor que demuestra ese poder de negociación es que los mejores porcentajes o proyectos están con las grandes empresas o compañías que necesitan invertir en servicios de comunicación por una demanda específica. Estos clientes saben que podrán invitar a las agencias y consultoras a pitchs largos y difíciles y poner el precio solicitado por debajo de lo que ya pagan, llevando a un ciclo que sólo debilita al sector como un todo</w:t>
      </w:r>
      <w:r w:rsidR="001B2D93" w:rsidRPr="00B967DF">
        <w:rPr>
          <w:rFonts w:ascii="Arial" w:hAnsi="Arial" w:cs="Arial"/>
          <w:color w:val="000000"/>
        </w:rPr>
        <w:t>.</w:t>
      </w:r>
    </w:p>
    <w:p w14:paraId="15F0B95F" w14:textId="77777777" w:rsidR="001B2D93" w:rsidRPr="00B967DF" w:rsidRDefault="001B2D93" w:rsidP="00830289">
      <w:pPr>
        <w:spacing w:after="200" w:line="276" w:lineRule="atLeast"/>
        <w:rPr>
          <w:rFonts w:ascii="Arial" w:hAnsi="Arial" w:cs="Arial"/>
          <w:color w:val="000000"/>
        </w:rPr>
      </w:pPr>
      <w:r w:rsidRPr="00B967DF">
        <w:rPr>
          <w:rFonts w:ascii="Arial" w:hAnsi="Arial" w:cs="Arial"/>
          <w:color w:val="000000"/>
        </w:rPr>
        <w:t> </w:t>
      </w:r>
    </w:p>
    <w:p w14:paraId="4F0438B1" w14:textId="77777777" w:rsidR="001B2D93" w:rsidRPr="00B967DF" w:rsidRDefault="001B2D93" w:rsidP="00830289">
      <w:pPr>
        <w:spacing w:after="200" w:line="276" w:lineRule="atLeast"/>
        <w:rPr>
          <w:rFonts w:ascii="Arial" w:hAnsi="Arial" w:cs="Arial"/>
          <w:color w:val="000000"/>
        </w:rPr>
      </w:pPr>
      <w:r w:rsidRPr="00B967DF">
        <w:rPr>
          <w:rFonts w:ascii="Arial" w:hAnsi="Arial" w:cs="Arial"/>
          <w:color w:val="000000"/>
          <w:u w:val="single"/>
        </w:rPr>
        <w:t>Poder de negociación de los proveedores</w:t>
      </w:r>
    </w:p>
    <w:p w14:paraId="6FFFCD91" w14:textId="77777777" w:rsidR="001B2D93" w:rsidRPr="00B967DF" w:rsidRDefault="001B2D93" w:rsidP="00830289">
      <w:pPr>
        <w:spacing w:after="200" w:line="276" w:lineRule="atLeast"/>
        <w:rPr>
          <w:rFonts w:ascii="Arial" w:hAnsi="Arial" w:cs="Arial"/>
          <w:color w:val="000000"/>
        </w:rPr>
      </w:pPr>
      <w:r w:rsidRPr="00B967DF">
        <w:rPr>
          <w:rFonts w:ascii="Arial" w:hAnsi="Arial" w:cs="Arial"/>
          <w:color w:val="000000"/>
        </w:rPr>
        <w:t>La única amenaza que se deriva de esta fuerza es justamente la inversión en productos de tecnología, como se explicó anteriormente.</w:t>
      </w:r>
    </w:p>
    <w:p w14:paraId="437E29C3" w14:textId="77777777" w:rsidR="001B2D93" w:rsidRPr="00B967DF" w:rsidRDefault="001B2D93" w:rsidP="00830289">
      <w:pPr>
        <w:spacing w:after="200" w:line="276" w:lineRule="atLeast"/>
        <w:rPr>
          <w:rFonts w:ascii="Arial" w:hAnsi="Arial" w:cs="Arial"/>
          <w:color w:val="000000"/>
        </w:rPr>
      </w:pPr>
      <w:r w:rsidRPr="00B967DF">
        <w:rPr>
          <w:rFonts w:ascii="Arial" w:hAnsi="Arial" w:cs="Arial"/>
          <w:color w:val="000000"/>
        </w:rPr>
        <w:t>Incluso con una gran variedad de oferta de nuevas herramientas de </w:t>
      </w:r>
      <w:r w:rsidRPr="00B967DF">
        <w:rPr>
          <w:rFonts w:ascii="Arial" w:hAnsi="Arial" w:cs="Arial"/>
          <w:i/>
          <w:iCs/>
          <w:color w:val="000000"/>
        </w:rPr>
        <w:t>Inteligencia de Negocios,</w:t>
      </w:r>
      <w:r w:rsidRPr="00B967DF">
        <w:rPr>
          <w:rFonts w:ascii="Arial" w:hAnsi="Arial" w:cs="Arial"/>
          <w:color w:val="000000"/>
        </w:rPr>
        <w:t> es difícil no optar por los líderes del mercado. En Brasil, son Brandwatch y Stilingue- ambos son caros y requieren un período mínimo de contrato.</w:t>
      </w:r>
    </w:p>
    <w:p w14:paraId="5A1501DE" w14:textId="02D361E2" w:rsidR="001B2D93" w:rsidRPr="00B967DF" w:rsidRDefault="001B2D93" w:rsidP="00830289">
      <w:pPr>
        <w:spacing w:after="200" w:line="276" w:lineRule="atLeast"/>
        <w:rPr>
          <w:rFonts w:ascii="Arial" w:hAnsi="Arial" w:cs="Arial"/>
          <w:color w:val="000000"/>
        </w:rPr>
      </w:pPr>
      <w:r w:rsidRPr="00B967DF">
        <w:rPr>
          <w:rFonts w:ascii="Arial" w:hAnsi="Arial" w:cs="Arial"/>
          <w:color w:val="000000"/>
        </w:rPr>
        <w:t>Sin estas herramientas, independientemente de si la agencia opta por las dos anteriores u otras más accesibles, no es posible medir los resultados de forma eficiente, ni ofrecer servicios de monitoreo, muy útiles en gestión de crisis.</w:t>
      </w:r>
    </w:p>
    <w:p w14:paraId="025EC8D0" w14:textId="77777777" w:rsidR="00FC3344" w:rsidRPr="00B967DF" w:rsidRDefault="00FC3344" w:rsidP="00830289">
      <w:pPr>
        <w:spacing w:after="200" w:line="276" w:lineRule="atLeast"/>
        <w:rPr>
          <w:rFonts w:ascii="Arial" w:hAnsi="Arial" w:cs="Arial"/>
          <w:color w:val="000000"/>
        </w:rPr>
      </w:pPr>
    </w:p>
    <w:p w14:paraId="72F58E4B" w14:textId="77777777" w:rsidR="001B2D93" w:rsidRPr="00B967DF" w:rsidRDefault="001B2D93" w:rsidP="00830289">
      <w:pPr>
        <w:spacing w:after="200" w:line="276" w:lineRule="atLeast"/>
        <w:rPr>
          <w:rFonts w:ascii="Arial" w:hAnsi="Arial" w:cs="Arial"/>
          <w:color w:val="000000"/>
        </w:rPr>
      </w:pPr>
      <w:r w:rsidRPr="00B967DF">
        <w:rPr>
          <w:rFonts w:ascii="Arial" w:hAnsi="Arial" w:cs="Arial"/>
          <w:color w:val="000000"/>
          <w:u w:val="single"/>
        </w:rPr>
        <w:t>escaneo</w:t>
      </w:r>
    </w:p>
    <w:p w14:paraId="5160BB9F" w14:textId="24CB8C58" w:rsidR="001B2D93" w:rsidRPr="00B967DF" w:rsidRDefault="00203202" w:rsidP="00830289">
      <w:pPr>
        <w:spacing w:after="200" w:line="276" w:lineRule="atLeast"/>
        <w:rPr>
          <w:rFonts w:ascii="Arial" w:hAnsi="Arial" w:cs="Arial"/>
          <w:color w:val="000000"/>
        </w:rPr>
      </w:pPr>
      <w:r w:rsidRPr="00B967DF">
        <w:rPr>
          <w:rFonts w:ascii="Arial" w:hAnsi="Arial" w:cs="Arial"/>
          <w:color w:val="000000"/>
        </w:rPr>
        <w:t>El primer factor de digitalización para el sector fue una oportunidad: Internet y redes sociales proporcionaron a las empresas otras formas de ofrecer servicios, productos, generar conversación y crear confianza con sus clientes y demás stakeholders. Con eso, las agencias y consultoras ganaron una nueva fuente de ingresos: la gestión de los canales en las redes sociales, desarrollo de sitios, gestión de campañas, entre otros tipos de proyectos.</w:t>
      </w:r>
    </w:p>
    <w:p w14:paraId="070A9DA7" w14:textId="77777777" w:rsidR="001B2D93" w:rsidRPr="00B967DF" w:rsidRDefault="001B2D93" w:rsidP="00830289">
      <w:pPr>
        <w:spacing w:after="200" w:line="276" w:lineRule="atLeast"/>
        <w:rPr>
          <w:rFonts w:ascii="Arial" w:hAnsi="Arial" w:cs="Arial"/>
          <w:color w:val="000000"/>
        </w:rPr>
      </w:pPr>
      <w:r w:rsidRPr="00B967DF">
        <w:rPr>
          <w:rFonts w:ascii="Arial" w:hAnsi="Arial" w:cs="Arial"/>
          <w:color w:val="000000"/>
        </w:rPr>
        <w:lastRenderedPageBreak/>
        <w:t>Con el tiempo, la gestión de redes sociales pasó a ser un commodity, con muchas agencias ofreciendo el mismo tipo de servicio.</w:t>
      </w:r>
    </w:p>
    <w:p w14:paraId="3D4ECFCF" w14:textId="5A6E0BCC" w:rsidR="001B2D93" w:rsidRPr="00B967DF" w:rsidRDefault="00203202" w:rsidP="00830289">
      <w:pPr>
        <w:spacing w:after="200" w:line="276" w:lineRule="atLeast"/>
        <w:rPr>
          <w:rFonts w:ascii="Arial" w:hAnsi="Arial" w:cs="Arial"/>
          <w:color w:val="000000"/>
        </w:rPr>
      </w:pPr>
      <w:r w:rsidRPr="00B967DF">
        <w:rPr>
          <w:rFonts w:ascii="Arial" w:hAnsi="Arial" w:cs="Arial"/>
          <w:color w:val="000000"/>
        </w:rPr>
        <w:t>Ahora, aparece otra oportunidad, en la cual la capacidad de reinventarse por parte del sector está siendo probada. La gestión del Big Data, la inteligencia en el uso de los datos para generar ideas y la posibilidad de trabajar en colaboración con el cliente, a través de la nube, así como otras oportunidades, demanda un nuevo enfoque de las agencias, que, como vimos en el panorama sobre el mercado en 2018, todavía se apoya mucho en dos tipos de servicio: relación con los medios de comunicación y gestión de redes sociales.</w:t>
      </w:r>
    </w:p>
    <w:p w14:paraId="1386FE43" w14:textId="77777777" w:rsidR="001B2D93" w:rsidRPr="00B967DF" w:rsidRDefault="001B2D93" w:rsidP="00830289">
      <w:pPr>
        <w:spacing w:after="200" w:line="276" w:lineRule="atLeast"/>
        <w:rPr>
          <w:rFonts w:ascii="Arial" w:hAnsi="Arial" w:cs="Arial"/>
          <w:color w:val="000000"/>
        </w:rPr>
      </w:pPr>
      <w:r w:rsidRPr="00B967DF">
        <w:rPr>
          <w:rFonts w:ascii="Arial" w:hAnsi="Arial" w:cs="Arial"/>
          <w:color w:val="000000"/>
          <w:u w:val="single"/>
        </w:rPr>
        <w:t>globalización</w:t>
      </w:r>
    </w:p>
    <w:p w14:paraId="415CC954" w14:textId="094A7F67" w:rsidR="00126DD6" w:rsidRPr="00B967DF" w:rsidRDefault="00203202" w:rsidP="00830289">
      <w:pPr>
        <w:pStyle w:val="NormalWeb"/>
        <w:spacing w:before="0" w:beforeAutospacing="0" w:after="200" w:afterAutospacing="0" w:line="276" w:lineRule="atLeast"/>
        <w:rPr>
          <w:rFonts w:ascii="Arial" w:hAnsi="Arial" w:cs="Arial"/>
          <w:color w:val="000000"/>
        </w:rPr>
      </w:pPr>
      <w:r w:rsidRPr="00B967DF">
        <w:rPr>
          <w:rFonts w:ascii="Arial" w:hAnsi="Arial" w:cs="Arial"/>
          <w:color w:val="000000"/>
        </w:rPr>
        <w:t>or último, la Globalización consolidó una práctica que impacta directamente el destino de las TOP 20 agencias o consultorías del sector. Grandes empresas multinacionales suelen contratar un modelo de servicio llamado Global o Regional, que es cuando una única empresa atiende al mismo cliente en varios países. Esto reduce la oportunidad de las agencias nacionales para atender a los clientes más grandes.</w:t>
      </w:r>
      <w:r w:rsidR="00126DD6" w:rsidRPr="00B967DF">
        <w:rPr>
          <w:rFonts w:ascii="Arial" w:hAnsi="Arial" w:cs="Arial"/>
          <w:color w:val="000000"/>
        </w:rPr>
        <w:t> </w:t>
      </w:r>
    </w:p>
    <w:p w14:paraId="1FA483AB" w14:textId="77777777" w:rsidR="00126DD6" w:rsidRPr="00B3759C" w:rsidRDefault="00126DD6" w:rsidP="00830289">
      <w:pPr>
        <w:pStyle w:val="NormalWeb"/>
        <w:spacing w:before="0" w:beforeAutospacing="0" w:after="200" w:afterAutospacing="0" w:line="322" w:lineRule="atLeast"/>
        <w:rPr>
          <w:rFonts w:ascii="Arial" w:hAnsi="Arial" w:cs="Arial"/>
          <w:color w:val="000000"/>
          <w:sz w:val="28"/>
          <w:szCs w:val="28"/>
        </w:rPr>
      </w:pPr>
      <w:r w:rsidRPr="00B3759C">
        <w:rPr>
          <w:rStyle w:val="notranslate"/>
          <w:rFonts w:ascii="Arial" w:hAnsi="Arial" w:cs="Arial"/>
          <w:b/>
          <w:bCs/>
          <w:color w:val="000000"/>
          <w:sz w:val="28"/>
          <w:szCs w:val="28"/>
        </w:rPr>
        <w:t>Conclusiones</w:t>
      </w:r>
    </w:p>
    <w:p w14:paraId="6287090E" w14:textId="77777777" w:rsidR="00203202" w:rsidRPr="00B967DF" w:rsidRDefault="00126DD6" w:rsidP="00830289">
      <w:pPr>
        <w:pStyle w:val="NormalWeb"/>
        <w:spacing w:before="0" w:beforeAutospacing="0" w:after="200" w:afterAutospacing="0" w:line="276" w:lineRule="atLeast"/>
        <w:rPr>
          <w:rStyle w:val="notranslate"/>
          <w:rFonts w:ascii="Arial" w:hAnsi="Arial" w:cs="Arial"/>
          <w:color w:val="000000"/>
        </w:rPr>
      </w:pPr>
      <w:r w:rsidRPr="00B967DF">
        <w:rPr>
          <w:rStyle w:val="notranslate"/>
          <w:rFonts w:ascii="Arial" w:hAnsi="Arial" w:cs="Arial"/>
          <w:color w:val="000000"/>
        </w:rPr>
        <w:t xml:space="preserve">El </w:t>
      </w:r>
      <w:r w:rsidR="00203202" w:rsidRPr="00B967DF">
        <w:rPr>
          <w:rStyle w:val="notranslate"/>
          <w:rFonts w:ascii="Arial" w:hAnsi="Arial" w:cs="Arial"/>
          <w:color w:val="000000"/>
        </w:rPr>
        <w:t>sector</w:t>
      </w:r>
      <w:r w:rsidRPr="00B967DF">
        <w:rPr>
          <w:rStyle w:val="notranslate"/>
          <w:rFonts w:ascii="Arial" w:hAnsi="Arial" w:cs="Arial"/>
          <w:color w:val="000000"/>
        </w:rPr>
        <w:t xml:space="preserve"> de Comunicaciones Corporativas / Relaciones Públicas se enfrenta a una serie de desafíos, </w:t>
      </w:r>
      <w:r w:rsidR="00203202" w:rsidRPr="00B967DF">
        <w:rPr>
          <w:rStyle w:val="notranslate"/>
          <w:rFonts w:ascii="Arial" w:hAnsi="Arial" w:cs="Arial"/>
          <w:color w:val="000000"/>
        </w:rPr>
        <w:t>que impactan a</w:t>
      </w:r>
      <w:r w:rsidRPr="00B967DF">
        <w:rPr>
          <w:rStyle w:val="notranslate"/>
          <w:rFonts w:ascii="Arial" w:hAnsi="Arial" w:cs="Arial"/>
          <w:color w:val="000000"/>
        </w:rPr>
        <w:t xml:space="preserve"> las agencias o consultorías de diferentes formas, </w:t>
      </w:r>
      <w:r w:rsidR="00203202" w:rsidRPr="00B967DF">
        <w:rPr>
          <w:rStyle w:val="notranslate"/>
          <w:rFonts w:ascii="Arial" w:hAnsi="Arial" w:cs="Arial"/>
          <w:color w:val="000000"/>
        </w:rPr>
        <w:t>generando así oportunidades y amenazas distintas.</w:t>
      </w:r>
    </w:p>
    <w:p w14:paraId="6E90F59C" w14:textId="670F1EBE" w:rsidR="00203202" w:rsidRPr="00B967DF" w:rsidRDefault="00126DD6" w:rsidP="00830289">
      <w:pPr>
        <w:pStyle w:val="NormalWeb"/>
        <w:spacing w:before="0" w:beforeAutospacing="0" w:after="200" w:afterAutospacing="0" w:line="276" w:lineRule="atLeast"/>
        <w:rPr>
          <w:rStyle w:val="notranslate"/>
          <w:rFonts w:ascii="Arial" w:hAnsi="Arial" w:cs="Arial"/>
          <w:color w:val="000000"/>
        </w:rPr>
      </w:pPr>
      <w:r w:rsidRPr="00B967DF">
        <w:rPr>
          <w:rStyle w:val="notranslate"/>
          <w:rFonts w:ascii="Arial" w:hAnsi="Arial" w:cs="Arial"/>
          <w:color w:val="000000"/>
          <w:u w:val="single"/>
        </w:rPr>
        <w:t>Oportunidades</w:t>
      </w:r>
    </w:p>
    <w:p w14:paraId="075B8D6D" w14:textId="4A1B5662" w:rsidR="00203202" w:rsidRPr="00B967DF" w:rsidRDefault="00203202" w:rsidP="00830289">
      <w:pPr>
        <w:numPr>
          <w:ilvl w:val="0"/>
          <w:numId w:val="26"/>
        </w:numPr>
        <w:spacing w:line="276" w:lineRule="atLeast"/>
        <w:ind w:left="527" w:firstLine="0"/>
        <w:rPr>
          <w:rStyle w:val="notranslate"/>
          <w:rFonts w:ascii="Arial" w:hAnsi="Arial" w:cs="Arial"/>
          <w:color w:val="000000"/>
        </w:rPr>
      </w:pPr>
      <w:r w:rsidRPr="00B967DF">
        <w:rPr>
          <w:rStyle w:val="notranslate"/>
          <w:rFonts w:ascii="Arial" w:hAnsi="Arial" w:cs="Arial"/>
          <w:color w:val="000000"/>
        </w:rPr>
        <w:t>El aumento de la inversión en el sector y el crecimiento registrado proporciona el momento ideal para apostar por la innovación y nuevos productos / servicios</w:t>
      </w:r>
    </w:p>
    <w:p w14:paraId="15CDD501" w14:textId="77777777" w:rsidR="00203202" w:rsidRPr="00B967DF" w:rsidRDefault="00203202" w:rsidP="00830289">
      <w:pPr>
        <w:spacing w:line="276" w:lineRule="atLeast"/>
        <w:rPr>
          <w:rStyle w:val="notranslate"/>
          <w:rFonts w:ascii="Arial" w:hAnsi="Arial" w:cs="Arial"/>
          <w:color w:val="000000"/>
        </w:rPr>
      </w:pPr>
    </w:p>
    <w:p w14:paraId="1B6FE2B0" w14:textId="77777777" w:rsidR="00203202" w:rsidRPr="00B967DF" w:rsidRDefault="00203202" w:rsidP="00830289">
      <w:pPr>
        <w:numPr>
          <w:ilvl w:val="0"/>
          <w:numId w:val="26"/>
        </w:numPr>
        <w:spacing w:line="276" w:lineRule="atLeast"/>
        <w:ind w:left="527" w:firstLine="0"/>
        <w:rPr>
          <w:rStyle w:val="notranslate"/>
          <w:rFonts w:ascii="Arial" w:hAnsi="Arial" w:cs="Arial"/>
          <w:color w:val="000000"/>
        </w:rPr>
      </w:pPr>
      <w:r w:rsidRPr="00B967DF">
        <w:rPr>
          <w:rStyle w:val="notranslate"/>
          <w:rFonts w:ascii="Arial" w:hAnsi="Arial" w:cs="Arial"/>
          <w:color w:val="000000"/>
        </w:rPr>
        <w:t>Al perfeccionar la gestión del talento, como ocurrió en el caso de LLYC, que hoy forma más personas en lugar de contratar profesionales del mercado, es posible reducir el costo con personal y aún aprovechar los beneficios de la gente que se preocupa por la compañía y su empresa futuro</w:t>
      </w:r>
    </w:p>
    <w:p w14:paraId="2E582E3D" w14:textId="77777777" w:rsidR="00203202" w:rsidRPr="00B967DF" w:rsidRDefault="00203202" w:rsidP="00830289">
      <w:pPr>
        <w:pStyle w:val="ListParagraph"/>
        <w:rPr>
          <w:rStyle w:val="notranslate"/>
          <w:rFonts w:ascii="Arial" w:hAnsi="Arial" w:cs="Arial"/>
          <w:color w:val="000000"/>
        </w:rPr>
      </w:pPr>
    </w:p>
    <w:p w14:paraId="7F9857A8" w14:textId="77777777" w:rsidR="00830289" w:rsidRPr="00B967DF" w:rsidRDefault="00203202" w:rsidP="00830289">
      <w:pPr>
        <w:numPr>
          <w:ilvl w:val="0"/>
          <w:numId w:val="26"/>
        </w:numPr>
        <w:spacing w:line="276" w:lineRule="atLeast"/>
        <w:ind w:left="527" w:firstLine="0"/>
        <w:rPr>
          <w:rStyle w:val="notranslate"/>
          <w:rFonts w:ascii="Arial" w:hAnsi="Arial" w:cs="Arial"/>
          <w:color w:val="000000"/>
        </w:rPr>
      </w:pPr>
      <w:r w:rsidRPr="00B967DF">
        <w:rPr>
          <w:rStyle w:val="notranslate"/>
          <w:rFonts w:ascii="Arial" w:hAnsi="Arial" w:cs="Arial"/>
          <w:color w:val="000000"/>
        </w:rPr>
        <w:t xml:space="preserve">Si el sector en Brasil entiende que, en un futuro próximo, las áreas de Comunicación y Marketing, serán una sola, es más un indicativo de que hay que invertir en los dos puntos arriba </w:t>
      </w:r>
    </w:p>
    <w:p w14:paraId="1267CC35" w14:textId="4EE39F85" w:rsidR="00830289" w:rsidRPr="00B967DF" w:rsidRDefault="00830289" w:rsidP="00830289">
      <w:pPr>
        <w:pStyle w:val="ListParagraph"/>
        <w:rPr>
          <w:rStyle w:val="notranslate"/>
          <w:rFonts w:ascii="Arial" w:hAnsi="Arial" w:cs="Arial"/>
          <w:color w:val="000000"/>
        </w:rPr>
      </w:pPr>
    </w:p>
    <w:p w14:paraId="314BD94C" w14:textId="7F7F6BDF" w:rsidR="00203202" w:rsidRPr="00B967DF" w:rsidRDefault="00830289" w:rsidP="00830289">
      <w:pPr>
        <w:pStyle w:val="NormalWeb"/>
        <w:spacing w:before="0" w:beforeAutospacing="0" w:after="200" w:afterAutospacing="0" w:line="276" w:lineRule="atLeast"/>
        <w:rPr>
          <w:rStyle w:val="notranslate"/>
          <w:rFonts w:ascii="Arial" w:hAnsi="Arial" w:cs="Arial"/>
          <w:color w:val="000000"/>
        </w:rPr>
      </w:pPr>
      <w:r w:rsidRPr="00B967DF">
        <w:rPr>
          <w:rStyle w:val="notranslate"/>
          <w:rFonts w:ascii="Arial" w:hAnsi="Arial" w:cs="Arial"/>
          <w:color w:val="000000"/>
          <w:u w:val="single"/>
        </w:rPr>
        <w:t>Amenazas</w:t>
      </w:r>
    </w:p>
    <w:p w14:paraId="75515038" w14:textId="77777777" w:rsidR="00830289" w:rsidRPr="00B967DF" w:rsidRDefault="00203202" w:rsidP="00830289">
      <w:pPr>
        <w:numPr>
          <w:ilvl w:val="0"/>
          <w:numId w:val="26"/>
        </w:numPr>
        <w:spacing w:line="276" w:lineRule="atLeast"/>
        <w:ind w:left="527" w:firstLine="0"/>
        <w:rPr>
          <w:rStyle w:val="notranslate"/>
          <w:rFonts w:ascii="Arial" w:hAnsi="Arial" w:cs="Arial"/>
          <w:color w:val="000000"/>
        </w:rPr>
      </w:pPr>
      <w:r w:rsidRPr="00B967DF">
        <w:rPr>
          <w:rStyle w:val="notranslate"/>
          <w:rFonts w:ascii="Arial" w:hAnsi="Arial" w:cs="Arial"/>
          <w:color w:val="000000"/>
        </w:rPr>
        <w:t xml:space="preserve">La tendencia de cambio en el modelo de contratación (menos </w:t>
      </w:r>
      <w:r w:rsidR="00830289" w:rsidRPr="00B967DF">
        <w:rPr>
          <w:rStyle w:val="notranslate"/>
          <w:rFonts w:ascii="Arial" w:hAnsi="Arial" w:cs="Arial"/>
          <w:color w:val="000000"/>
        </w:rPr>
        <w:t>fees</w:t>
      </w:r>
      <w:r w:rsidRPr="00B967DF">
        <w:rPr>
          <w:rStyle w:val="notranslate"/>
          <w:rFonts w:ascii="Arial" w:hAnsi="Arial" w:cs="Arial"/>
          <w:color w:val="000000"/>
        </w:rPr>
        <w:t>, más proyectos), hace que el sector repense el volumen y formato de inversión en el negocio. Con menor seguridad, existe la posibilidad de que las agencias disminuyan cuanto invierten para su desarrollo</w:t>
      </w:r>
    </w:p>
    <w:p w14:paraId="4B7F5F0B" w14:textId="77777777" w:rsidR="00830289" w:rsidRPr="00B967DF" w:rsidRDefault="00830289" w:rsidP="00830289">
      <w:pPr>
        <w:pStyle w:val="ListParagraph"/>
        <w:rPr>
          <w:rStyle w:val="notranslate"/>
          <w:rFonts w:ascii="Arial" w:hAnsi="Arial" w:cs="Arial"/>
          <w:color w:val="000000"/>
        </w:rPr>
      </w:pPr>
    </w:p>
    <w:p w14:paraId="51017C3F" w14:textId="77777777" w:rsidR="00830289" w:rsidRPr="00B967DF" w:rsidRDefault="00203202" w:rsidP="00830289">
      <w:pPr>
        <w:numPr>
          <w:ilvl w:val="0"/>
          <w:numId w:val="26"/>
        </w:numPr>
        <w:spacing w:line="276" w:lineRule="atLeast"/>
        <w:ind w:left="527" w:firstLine="0"/>
        <w:rPr>
          <w:rStyle w:val="notranslate"/>
          <w:rFonts w:ascii="Arial" w:hAnsi="Arial" w:cs="Arial"/>
          <w:color w:val="000000"/>
        </w:rPr>
      </w:pPr>
      <w:r w:rsidRPr="00B967DF">
        <w:rPr>
          <w:rStyle w:val="notranslate"/>
          <w:rFonts w:ascii="Arial" w:hAnsi="Arial" w:cs="Arial"/>
          <w:color w:val="000000"/>
        </w:rPr>
        <w:t>La demanda por inversión en tecnología encarece y prioriza las inversiones por parte de las agencias.</w:t>
      </w:r>
    </w:p>
    <w:p w14:paraId="41085DFE" w14:textId="77777777" w:rsidR="00830289" w:rsidRPr="00B967DF" w:rsidRDefault="00830289" w:rsidP="00830289">
      <w:pPr>
        <w:pStyle w:val="ListParagraph"/>
        <w:rPr>
          <w:rStyle w:val="notranslate"/>
          <w:rFonts w:ascii="Arial" w:hAnsi="Arial" w:cs="Arial"/>
          <w:color w:val="000000"/>
        </w:rPr>
      </w:pPr>
    </w:p>
    <w:p w14:paraId="2CDC164F" w14:textId="77777777" w:rsidR="00830289" w:rsidRPr="00B967DF" w:rsidRDefault="00203202" w:rsidP="00830289">
      <w:pPr>
        <w:numPr>
          <w:ilvl w:val="0"/>
          <w:numId w:val="26"/>
        </w:numPr>
        <w:spacing w:line="276" w:lineRule="atLeast"/>
        <w:ind w:left="527" w:firstLine="0"/>
        <w:rPr>
          <w:rStyle w:val="notranslate"/>
          <w:rFonts w:ascii="Arial" w:hAnsi="Arial" w:cs="Arial"/>
          <w:color w:val="000000"/>
        </w:rPr>
      </w:pPr>
      <w:r w:rsidRPr="00B967DF">
        <w:rPr>
          <w:rStyle w:val="notranslate"/>
          <w:rFonts w:ascii="Arial" w:hAnsi="Arial" w:cs="Arial"/>
          <w:color w:val="000000"/>
        </w:rPr>
        <w:t>El alto poder de negociación de los clientes obligará al sector a invertir más en innovación, para generar valor para los clientes en otros tipos de servicios, que no gestionan la relación con los medios y / o redes sociales.</w:t>
      </w:r>
    </w:p>
    <w:p w14:paraId="1250A10E" w14:textId="3D3CE925" w:rsidR="00830289" w:rsidRPr="00B967DF" w:rsidRDefault="00830289" w:rsidP="00830289">
      <w:pPr>
        <w:pStyle w:val="ListParagraph"/>
        <w:rPr>
          <w:rStyle w:val="notranslate"/>
          <w:rFonts w:ascii="Arial" w:hAnsi="Arial" w:cs="Arial"/>
          <w:color w:val="000000"/>
        </w:rPr>
      </w:pPr>
    </w:p>
    <w:p w14:paraId="7377ED92" w14:textId="77777777" w:rsidR="00126DD6" w:rsidRPr="00B967DF" w:rsidRDefault="00126DD6" w:rsidP="00830289">
      <w:pPr>
        <w:pStyle w:val="NormalWeb"/>
        <w:spacing w:before="0" w:beforeAutospacing="0" w:after="200" w:afterAutospacing="0" w:line="276" w:lineRule="atLeast"/>
        <w:rPr>
          <w:rFonts w:ascii="Arial" w:hAnsi="Arial" w:cs="Arial"/>
          <w:color w:val="000000"/>
        </w:rPr>
      </w:pPr>
      <w:r w:rsidRPr="00B967DF">
        <w:rPr>
          <w:rFonts w:ascii="Arial" w:hAnsi="Arial" w:cs="Arial"/>
          <w:color w:val="000000"/>
        </w:rPr>
        <w:t> </w:t>
      </w:r>
    </w:p>
    <w:p w14:paraId="5AE1F2E6" w14:textId="77777777" w:rsidR="00126DD6" w:rsidRPr="00B3759C" w:rsidRDefault="00126DD6" w:rsidP="00830289">
      <w:pPr>
        <w:pStyle w:val="NormalWeb"/>
        <w:spacing w:before="0" w:beforeAutospacing="0" w:after="200" w:afterAutospacing="0" w:line="322" w:lineRule="atLeast"/>
        <w:rPr>
          <w:rFonts w:ascii="Arial" w:hAnsi="Arial" w:cs="Arial"/>
          <w:color w:val="000000"/>
          <w:sz w:val="28"/>
          <w:szCs w:val="28"/>
        </w:rPr>
      </w:pPr>
      <w:r w:rsidRPr="00B3759C">
        <w:rPr>
          <w:rStyle w:val="notranslate"/>
          <w:rFonts w:ascii="Arial" w:hAnsi="Arial" w:cs="Arial"/>
          <w:b/>
          <w:bCs/>
          <w:color w:val="000000"/>
          <w:sz w:val="28"/>
          <w:szCs w:val="28"/>
        </w:rPr>
        <w:t>Bibliografia</w:t>
      </w:r>
    </w:p>
    <w:p w14:paraId="4FD06495" w14:textId="171BCED5" w:rsidR="00FC3344" w:rsidRPr="00B967DF" w:rsidRDefault="00FC3344" w:rsidP="00830289">
      <w:pPr>
        <w:numPr>
          <w:ilvl w:val="0"/>
          <w:numId w:val="38"/>
        </w:numPr>
        <w:spacing w:line="276" w:lineRule="atLeast"/>
        <w:ind w:left="527" w:firstLine="0"/>
        <w:rPr>
          <w:rFonts w:ascii="Arial" w:hAnsi="Arial" w:cs="Arial"/>
          <w:color w:val="000000"/>
        </w:rPr>
      </w:pPr>
      <w:r w:rsidRPr="00B967DF">
        <w:rPr>
          <w:rFonts w:ascii="Arial" w:hAnsi="Arial" w:cs="Arial"/>
          <w:color w:val="000000"/>
        </w:rPr>
        <w:t>Portal Medio y Mensaje</w:t>
      </w:r>
    </w:p>
    <w:p w14:paraId="1DC6DB74" w14:textId="77777777" w:rsidR="00830289" w:rsidRPr="00B967DF" w:rsidRDefault="00830289" w:rsidP="00830289">
      <w:pPr>
        <w:numPr>
          <w:ilvl w:val="0"/>
          <w:numId w:val="38"/>
        </w:numPr>
        <w:spacing w:line="276" w:lineRule="atLeast"/>
        <w:ind w:left="527" w:firstLine="0"/>
        <w:rPr>
          <w:rFonts w:ascii="Arial" w:hAnsi="Arial" w:cs="Arial"/>
          <w:color w:val="000000"/>
        </w:rPr>
      </w:pPr>
      <w:r w:rsidRPr="00B967DF">
        <w:rPr>
          <w:rStyle w:val="notranslate"/>
          <w:rFonts w:ascii="Arial" w:hAnsi="Arial" w:cs="Arial"/>
          <w:color w:val="000000"/>
        </w:rPr>
        <w:t>The Holmes Report</w:t>
      </w:r>
    </w:p>
    <w:p w14:paraId="70DDB0D4" w14:textId="1A25AC39" w:rsidR="00830289" w:rsidRPr="00B967DF" w:rsidRDefault="00830289" w:rsidP="00830289">
      <w:pPr>
        <w:numPr>
          <w:ilvl w:val="0"/>
          <w:numId w:val="38"/>
        </w:numPr>
        <w:spacing w:line="276" w:lineRule="atLeast"/>
        <w:ind w:left="527" w:firstLine="0"/>
        <w:rPr>
          <w:rFonts w:ascii="Arial" w:hAnsi="Arial" w:cs="Arial"/>
          <w:color w:val="000000"/>
        </w:rPr>
      </w:pPr>
      <w:r w:rsidRPr="00B967DF">
        <w:rPr>
          <w:rStyle w:val="notranslate"/>
          <w:rFonts w:ascii="Arial" w:hAnsi="Arial" w:cs="Arial"/>
          <w:color w:val="000000"/>
        </w:rPr>
        <w:t>Directorio de comunicaciones corporativas en el 2019 Brasil Mega Comunicación</w:t>
      </w:r>
    </w:p>
    <w:p w14:paraId="03D59DFF" w14:textId="77777777" w:rsidR="00830289" w:rsidRPr="00B967DF" w:rsidRDefault="00830289" w:rsidP="00830289">
      <w:pPr>
        <w:numPr>
          <w:ilvl w:val="0"/>
          <w:numId w:val="38"/>
        </w:numPr>
        <w:spacing w:line="276" w:lineRule="atLeast"/>
        <w:ind w:left="527" w:firstLine="0"/>
        <w:rPr>
          <w:rFonts w:ascii="Arial" w:hAnsi="Arial" w:cs="Arial"/>
          <w:color w:val="000000"/>
        </w:rPr>
      </w:pPr>
      <w:r w:rsidRPr="00B967DF">
        <w:rPr>
          <w:rStyle w:val="notranslate"/>
          <w:rFonts w:ascii="Arial" w:hAnsi="Arial" w:cs="Arial"/>
          <w:color w:val="000000"/>
        </w:rPr>
        <w:t>Ranking Merco</w:t>
      </w:r>
    </w:p>
    <w:p w14:paraId="351ADF2F" w14:textId="77777777" w:rsidR="00830289" w:rsidRPr="00B967DF" w:rsidRDefault="00830289" w:rsidP="00830289">
      <w:pPr>
        <w:numPr>
          <w:ilvl w:val="0"/>
          <w:numId w:val="38"/>
        </w:numPr>
        <w:spacing w:after="200" w:line="276" w:lineRule="atLeast"/>
        <w:ind w:left="527" w:firstLine="0"/>
        <w:rPr>
          <w:rFonts w:ascii="Arial" w:hAnsi="Arial" w:cs="Arial"/>
          <w:color w:val="000000"/>
        </w:rPr>
      </w:pPr>
      <w:r w:rsidRPr="00B967DF">
        <w:rPr>
          <w:rStyle w:val="notranslate"/>
          <w:rFonts w:ascii="Arial" w:hAnsi="Arial" w:cs="Arial"/>
          <w:color w:val="000000"/>
        </w:rPr>
        <w:t>Blog interno de LLYC</w:t>
      </w:r>
    </w:p>
    <w:p w14:paraId="3BE74BE3" w14:textId="77777777" w:rsidR="00126DD6" w:rsidRPr="00B967DF" w:rsidRDefault="00126DD6" w:rsidP="00830289">
      <w:pPr>
        <w:rPr>
          <w:rFonts w:ascii="Arial" w:hAnsi="Arial" w:cs="Arial"/>
        </w:rPr>
      </w:pPr>
    </w:p>
    <w:p w14:paraId="1D3EFE4F" w14:textId="77777777" w:rsidR="00126DD6" w:rsidRPr="00FC3344" w:rsidRDefault="00126DD6" w:rsidP="00830289">
      <w:pPr>
        <w:rPr>
          <w:rFonts w:asciiTheme="minorHAnsi" w:hAnsiTheme="minorHAnsi" w:cs="Arial"/>
          <w:color w:val="000000" w:themeColor="text1"/>
          <w:lang w:val="pt-BR"/>
        </w:rPr>
      </w:pPr>
      <w:bookmarkStart w:id="0" w:name="_GoBack"/>
      <w:bookmarkEnd w:id="0"/>
    </w:p>
    <w:sectPr w:rsidR="00126DD6" w:rsidRPr="00FC3344" w:rsidSect="0007426A">
      <w:headerReference w:type="default" r:id="rId11"/>
      <w:footerReference w:type="default" r:id="rId12"/>
      <w:pgSz w:w="11906" w:h="16838"/>
      <w:pgMar w:top="2127" w:right="849" w:bottom="1134" w:left="1701" w:header="708" w:footer="375"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8157A7" w14:textId="77777777" w:rsidR="00033D5F" w:rsidRDefault="00033D5F" w:rsidP="00A77705">
      <w:r>
        <w:separator/>
      </w:r>
    </w:p>
  </w:endnote>
  <w:endnote w:type="continuationSeparator" w:id="0">
    <w:p w14:paraId="0D0DD15F" w14:textId="77777777" w:rsidR="00033D5F" w:rsidRDefault="00033D5F" w:rsidP="00A77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Open Sans">
    <w:panose1 w:val="020B0606030504020204"/>
    <w:charset w:val="00"/>
    <w:family w:val="auto"/>
    <w:pitch w:val="variable"/>
    <w:sig w:usb0="E00002EF" w:usb1="4000205B" w:usb2="00000028" w:usb3="00000000" w:csb0="0000019F" w:csb1="00000000"/>
  </w:font>
  <w:font w:name="Open Sans Light">
    <w:panose1 w:val="020B0306030504020204"/>
    <w:charset w:val="00"/>
    <w:family w:val="auto"/>
    <w:pitch w:val="variable"/>
    <w:sig w:usb0="E00002EF" w:usb1="4000205B" w:usb2="00000028"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2146F2" w14:textId="77777777" w:rsidR="00F34197" w:rsidRDefault="00F34197" w:rsidP="00DF568E">
    <w:pPr>
      <w:pStyle w:val="Header"/>
      <w:ind w:left="7080"/>
    </w:pPr>
  </w:p>
  <w:p w14:paraId="40AB95DE" w14:textId="77777777" w:rsidR="00F34197" w:rsidRDefault="00F34197" w:rsidP="00AD3280">
    <w:pPr>
      <w:tabs>
        <w:tab w:val="left" w:pos="5526"/>
      </w:tabs>
    </w:pPr>
    <w:r>
      <w:rPr>
        <w:noProof/>
        <w:lang w:val="en-US" w:eastAsia="en-US"/>
      </w:rPr>
      <w:drawing>
        <wp:anchor distT="0" distB="0" distL="114300" distR="114300" simplePos="0" relativeHeight="251679232" behindDoc="1" locked="0" layoutInCell="1" allowOverlap="1" wp14:anchorId="516B5FDA" wp14:editId="1F4901E4">
          <wp:simplePos x="0" y="0"/>
          <wp:positionH relativeFrom="margin">
            <wp:posOffset>-402480</wp:posOffset>
          </wp:positionH>
          <wp:positionV relativeFrom="paragraph">
            <wp:posOffset>282934</wp:posOffset>
          </wp:positionV>
          <wp:extent cx="6849373" cy="437515"/>
          <wp:effectExtent l="0" t="0" r="8890" b="635"/>
          <wp:wrapNone/>
          <wp:docPr id="269" name="Imagen 269"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9373" cy="437515"/>
                  </a:xfrm>
                  <a:prstGeom prst="rect">
                    <a:avLst/>
                  </a:prstGeom>
                  <a:noFill/>
                  <a:ln>
                    <a:noFill/>
                  </a:ln>
                </pic:spPr>
              </pic:pic>
            </a:graphicData>
          </a:graphic>
        </wp:anchor>
      </w:drawing>
    </w:r>
    <w:r>
      <w:tab/>
    </w:r>
  </w:p>
  <w:p w14:paraId="11A14B54" w14:textId="77777777" w:rsidR="00F34197" w:rsidRDefault="00F34197" w:rsidP="00DF568E">
    <w:pPr>
      <w:pStyle w:val="Footer"/>
    </w:pPr>
  </w:p>
  <w:p w14:paraId="73D39BA5" w14:textId="77777777" w:rsidR="00F34197" w:rsidRDefault="00F34197" w:rsidP="00DF568E">
    <w:pPr>
      <w:pStyle w:val="Footer"/>
    </w:pPr>
    <w:r>
      <w:fldChar w:fldCharType="begin"/>
    </w:r>
    <w:r>
      <w:instrText>PAGE   \* MERGEFORMAT</w:instrText>
    </w:r>
    <w:r>
      <w:fldChar w:fldCharType="separate"/>
    </w:r>
    <w:r w:rsidR="00B3759C">
      <w:rPr>
        <w:noProof/>
      </w:rPr>
      <w:t>10</w:t>
    </w:r>
    <w:r>
      <w:rPr>
        <w:noProof/>
      </w:rPr>
      <w:fldChar w:fldCharType="end"/>
    </w:r>
  </w:p>
  <w:p w14:paraId="180709BF" w14:textId="77777777" w:rsidR="00F34197" w:rsidRDefault="00F34197">
    <w:pPr>
      <w:pStyle w:val="Footer"/>
    </w:pPr>
    <w:r>
      <w:rPr>
        <w:noProof/>
        <w:lang w:val="en-US" w:eastAsia="en-US"/>
      </w:rPr>
      <w:drawing>
        <wp:anchor distT="0" distB="0" distL="114300" distR="114300" simplePos="0" relativeHeight="251671040" behindDoc="1" locked="0" layoutInCell="1" allowOverlap="1" wp14:anchorId="4EDA5D8C" wp14:editId="2A4395E8">
          <wp:simplePos x="0" y="0"/>
          <wp:positionH relativeFrom="column">
            <wp:posOffset>472440</wp:posOffset>
          </wp:positionH>
          <wp:positionV relativeFrom="paragraph">
            <wp:posOffset>9988550</wp:posOffset>
          </wp:positionV>
          <wp:extent cx="6903085" cy="437515"/>
          <wp:effectExtent l="0" t="0" r="0" b="635"/>
          <wp:wrapNone/>
          <wp:docPr id="270" name="Imagen 270"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r>
      <w:rPr>
        <w:noProof/>
        <w:lang w:val="en-US" w:eastAsia="en-US"/>
      </w:rPr>
      <w:drawing>
        <wp:anchor distT="0" distB="0" distL="114300" distR="114300" simplePos="0" relativeHeight="251667968" behindDoc="1" locked="0" layoutInCell="1" allowOverlap="1" wp14:anchorId="7DDABB25" wp14:editId="4B4A80CA">
          <wp:simplePos x="0" y="0"/>
          <wp:positionH relativeFrom="column">
            <wp:posOffset>472440</wp:posOffset>
          </wp:positionH>
          <wp:positionV relativeFrom="paragraph">
            <wp:posOffset>9988550</wp:posOffset>
          </wp:positionV>
          <wp:extent cx="6903085" cy="437515"/>
          <wp:effectExtent l="0" t="0" r="0" b="635"/>
          <wp:wrapNone/>
          <wp:docPr id="271" name="Imagen 271"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r>
      <w:rPr>
        <w:noProof/>
        <w:lang w:val="en-US" w:eastAsia="en-US"/>
      </w:rPr>
      <w:drawing>
        <wp:anchor distT="0" distB="0" distL="114300" distR="114300" simplePos="0" relativeHeight="251664896" behindDoc="1" locked="0" layoutInCell="1" allowOverlap="1" wp14:anchorId="043B9316" wp14:editId="7C867454">
          <wp:simplePos x="0" y="0"/>
          <wp:positionH relativeFrom="column">
            <wp:posOffset>472440</wp:posOffset>
          </wp:positionH>
          <wp:positionV relativeFrom="paragraph">
            <wp:posOffset>9988550</wp:posOffset>
          </wp:positionV>
          <wp:extent cx="6903085" cy="437515"/>
          <wp:effectExtent l="0" t="0" r="0" b="635"/>
          <wp:wrapNone/>
          <wp:docPr id="272" name="Imagen 272"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r>
      <w:rPr>
        <w:noProof/>
        <w:lang w:val="en-US" w:eastAsia="en-US"/>
      </w:rPr>
      <w:drawing>
        <wp:anchor distT="0" distB="0" distL="114300" distR="114300" simplePos="0" relativeHeight="251661824" behindDoc="1" locked="0" layoutInCell="1" allowOverlap="1" wp14:anchorId="4D29A357" wp14:editId="516C1EF0">
          <wp:simplePos x="0" y="0"/>
          <wp:positionH relativeFrom="column">
            <wp:posOffset>472440</wp:posOffset>
          </wp:positionH>
          <wp:positionV relativeFrom="paragraph">
            <wp:posOffset>9988550</wp:posOffset>
          </wp:positionV>
          <wp:extent cx="6903085" cy="437515"/>
          <wp:effectExtent l="0" t="0" r="0" b="635"/>
          <wp:wrapNone/>
          <wp:docPr id="273" name="Imagen 273"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r>
      <w:rPr>
        <w:noProof/>
        <w:lang w:val="en-US" w:eastAsia="en-US"/>
      </w:rPr>
      <w:drawing>
        <wp:anchor distT="0" distB="0" distL="114300" distR="114300" simplePos="0" relativeHeight="251658752" behindDoc="1" locked="0" layoutInCell="1" allowOverlap="1" wp14:anchorId="3BEBD154" wp14:editId="60CA4BD2">
          <wp:simplePos x="0" y="0"/>
          <wp:positionH relativeFrom="column">
            <wp:posOffset>472440</wp:posOffset>
          </wp:positionH>
          <wp:positionV relativeFrom="paragraph">
            <wp:posOffset>9988550</wp:posOffset>
          </wp:positionV>
          <wp:extent cx="6903085" cy="437515"/>
          <wp:effectExtent l="0" t="0" r="0" b="635"/>
          <wp:wrapNone/>
          <wp:docPr id="274" name="Imagen 274"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126F4B" w14:textId="77777777" w:rsidR="00033D5F" w:rsidRDefault="00033D5F" w:rsidP="00A77705">
      <w:r>
        <w:separator/>
      </w:r>
    </w:p>
  </w:footnote>
  <w:footnote w:type="continuationSeparator" w:id="0">
    <w:p w14:paraId="1F8A37FB" w14:textId="77777777" w:rsidR="00033D5F" w:rsidRDefault="00033D5F" w:rsidP="00A7770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66CA73" w14:textId="77777777" w:rsidR="00F34197" w:rsidRDefault="00F34197" w:rsidP="00895C91">
    <w:pPr>
      <w:pStyle w:val="Header"/>
      <w:tabs>
        <w:tab w:val="clear" w:pos="4252"/>
        <w:tab w:val="clear" w:pos="8504"/>
        <w:tab w:val="left" w:pos="7075"/>
      </w:tabs>
    </w:pPr>
    <w:r w:rsidRPr="00895C91">
      <w:rPr>
        <w:noProof/>
        <w:lang w:val="en-US" w:eastAsia="en-US"/>
      </w:rPr>
      <w:drawing>
        <wp:anchor distT="0" distB="0" distL="114300" distR="114300" simplePos="0" relativeHeight="251657216" behindDoc="1" locked="0" layoutInCell="1" allowOverlap="1" wp14:anchorId="1B9D3CD7" wp14:editId="7A33B40E">
          <wp:simplePos x="0" y="0"/>
          <wp:positionH relativeFrom="column">
            <wp:posOffset>3833357</wp:posOffset>
          </wp:positionH>
          <wp:positionV relativeFrom="paragraph">
            <wp:posOffset>11126</wp:posOffset>
          </wp:positionV>
          <wp:extent cx="2107096" cy="216896"/>
          <wp:effectExtent l="0" t="0" r="0" b="0"/>
          <wp:wrapNone/>
          <wp:docPr id="15"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7096" cy="216896"/>
                  </a:xfrm>
                  <a:prstGeom prst="rect">
                    <a:avLst/>
                  </a:prstGeom>
                </pic:spPr>
              </pic:pic>
            </a:graphicData>
          </a:graphic>
          <wp14:sizeRelH relativeFrom="margin">
            <wp14:pctWidth>0</wp14:pctWidth>
          </wp14:sizeRelH>
          <wp14:sizeRelV relativeFrom="margin">
            <wp14:pctHeight>0</wp14:pctHeight>
          </wp14:sizeRelV>
        </wp:anchor>
      </w:drawing>
    </w:r>
    <w:r w:rsidRPr="00895C91">
      <w:rPr>
        <w:noProof/>
        <w:lang w:val="en-US" w:eastAsia="en-US"/>
      </w:rPr>
      <w:drawing>
        <wp:inline distT="0" distB="0" distL="0" distR="0" wp14:anchorId="2C8F86E1" wp14:editId="19364114">
          <wp:extent cx="1905000" cy="334710"/>
          <wp:effectExtent l="0" t="0" r="0" b="8255"/>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2"/>
                  <a:stretch>
                    <a:fillRect/>
                  </a:stretch>
                </pic:blipFill>
                <pic:spPr>
                  <a:xfrm>
                    <a:off x="0" y="0"/>
                    <a:ext cx="1905000" cy="334710"/>
                  </a:xfrm>
                  <a:prstGeom prst="rect">
                    <a:avLst/>
                  </a:prstGeom>
                </pic:spPr>
              </pic:pic>
            </a:graphicData>
          </a:graphic>
        </wp:inline>
      </w:drawing>
    </w:r>
    <w: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D1998"/>
    <w:multiLevelType w:val="multilevel"/>
    <w:tmpl w:val="00A04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7061DE"/>
    <w:multiLevelType w:val="hybridMultilevel"/>
    <w:tmpl w:val="80500E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6023E4"/>
    <w:multiLevelType w:val="hybridMultilevel"/>
    <w:tmpl w:val="4FDAD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11A4C86"/>
    <w:multiLevelType w:val="hybridMultilevel"/>
    <w:tmpl w:val="D3E80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910DD4"/>
    <w:multiLevelType w:val="multilevel"/>
    <w:tmpl w:val="71320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BE8384C"/>
    <w:multiLevelType w:val="multilevel"/>
    <w:tmpl w:val="EE0E4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DAB6657"/>
    <w:multiLevelType w:val="multilevel"/>
    <w:tmpl w:val="AAC01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8DC2EE5"/>
    <w:multiLevelType w:val="multilevel"/>
    <w:tmpl w:val="76FAF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8FD3213"/>
    <w:multiLevelType w:val="multilevel"/>
    <w:tmpl w:val="73D06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EA40B70"/>
    <w:multiLevelType w:val="hybridMultilevel"/>
    <w:tmpl w:val="F5C660A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nsid w:val="2F836AAF"/>
    <w:multiLevelType w:val="multilevel"/>
    <w:tmpl w:val="0DD87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3C25421"/>
    <w:multiLevelType w:val="hybridMultilevel"/>
    <w:tmpl w:val="64FA5C5C"/>
    <w:lvl w:ilvl="0" w:tplc="19EA7A26">
      <w:start w:val="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16A3832"/>
    <w:multiLevelType w:val="hybridMultilevel"/>
    <w:tmpl w:val="0BECB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5C7936"/>
    <w:multiLevelType w:val="multilevel"/>
    <w:tmpl w:val="AA5E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7D16046"/>
    <w:multiLevelType w:val="multilevel"/>
    <w:tmpl w:val="73F4F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7EB38BD"/>
    <w:multiLevelType w:val="hybridMultilevel"/>
    <w:tmpl w:val="C0EA68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8D4232C"/>
    <w:multiLevelType w:val="hybridMultilevel"/>
    <w:tmpl w:val="29261AF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nsid w:val="49010169"/>
    <w:multiLevelType w:val="multilevel"/>
    <w:tmpl w:val="7A8A9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9C545B4"/>
    <w:multiLevelType w:val="hybridMultilevel"/>
    <w:tmpl w:val="8EC6B25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nsid w:val="4A9A2E23"/>
    <w:multiLevelType w:val="hybridMultilevel"/>
    <w:tmpl w:val="713445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B50D40"/>
    <w:multiLevelType w:val="hybridMultilevel"/>
    <w:tmpl w:val="23F0239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nsid w:val="4E4A41CB"/>
    <w:multiLevelType w:val="multilevel"/>
    <w:tmpl w:val="951250C8"/>
    <w:lvl w:ilvl="0">
      <w:start w:val="1"/>
      <w:numFmt w:val="decimal"/>
      <w:lvlText w:val="%1."/>
      <w:lvlJc w:val="left"/>
      <w:pPr>
        <w:tabs>
          <w:tab w:val="num" w:pos="92"/>
        </w:tabs>
        <w:ind w:left="92" w:hanging="360"/>
      </w:pPr>
    </w:lvl>
    <w:lvl w:ilvl="1" w:tentative="1">
      <w:start w:val="1"/>
      <w:numFmt w:val="decimal"/>
      <w:lvlText w:val="%2."/>
      <w:lvlJc w:val="left"/>
      <w:pPr>
        <w:tabs>
          <w:tab w:val="num" w:pos="812"/>
        </w:tabs>
        <w:ind w:left="812" w:hanging="360"/>
      </w:pPr>
    </w:lvl>
    <w:lvl w:ilvl="2" w:tentative="1">
      <w:start w:val="1"/>
      <w:numFmt w:val="decimal"/>
      <w:lvlText w:val="%3."/>
      <w:lvlJc w:val="left"/>
      <w:pPr>
        <w:tabs>
          <w:tab w:val="num" w:pos="1532"/>
        </w:tabs>
        <w:ind w:left="1532" w:hanging="360"/>
      </w:pPr>
    </w:lvl>
    <w:lvl w:ilvl="3" w:tentative="1">
      <w:start w:val="1"/>
      <w:numFmt w:val="decimal"/>
      <w:lvlText w:val="%4."/>
      <w:lvlJc w:val="left"/>
      <w:pPr>
        <w:tabs>
          <w:tab w:val="num" w:pos="2252"/>
        </w:tabs>
        <w:ind w:left="2252" w:hanging="360"/>
      </w:pPr>
    </w:lvl>
    <w:lvl w:ilvl="4" w:tentative="1">
      <w:start w:val="1"/>
      <w:numFmt w:val="decimal"/>
      <w:lvlText w:val="%5."/>
      <w:lvlJc w:val="left"/>
      <w:pPr>
        <w:tabs>
          <w:tab w:val="num" w:pos="2972"/>
        </w:tabs>
        <w:ind w:left="2972" w:hanging="360"/>
      </w:pPr>
    </w:lvl>
    <w:lvl w:ilvl="5" w:tentative="1">
      <w:start w:val="1"/>
      <w:numFmt w:val="decimal"/>
      <w:lvlText w:val="%6."/>
      <w:lvlJc w:val="left"/>
      <w:pPr>
        <w:tabs>
          <w:tab w:val="num" w:pos="3692"/>
        </w:tabs>
        <w:ind w:left="3692" w:hanging="360"/>
      </w:pPr>
    </w:lvl>
    <w:lvl w:ilvl="6" w:tentative="1">
      <w:start w:val="1"/>
      <w:numFmt w:val="decimal"/>
      <w:lvlText w:val="%7."/>
      <w:lvlJc w:val="left"/>
      <w:pPr>
        <w:tabs>
          <w:tab w:val="num" w:pos="4412"/>
        </w:tabs>
        <w:ind w:left="4412" w:hanging="360"/>
      </w:pPr>
    </w:lvl>
    <w:lvl w:ilvl="7" w:tentative="1">
      <w:start w:val="1"/>
      <w:numFmt w:val="decimal"/>
      <w:lvlText w:val="%8."/>
      <w:lvlJc w:val="left"/>
      <w:pPr>
        <w:tabs>
          <w:tab w:val="num" w:pos="5132"/>
        </w:tabs>
        <w:ind w:left="5132" w:hanging="360"/>
      </w:pPr>
    </w:lvl>
    <w:lvl w:ilvl="8" w:tentative="1">
      <w:start w:val="1"/>
      <w:numFmt w:val="decimal"/>
      <w:lvlText w:val="%9."/>
      <w:lvlJc w:val="left"/>
      <w:pPr>
        <w:tabs>
          <w:tab w:val="num" w:pos="5852"/>
        </w:tabs>
        <w:ind w:left="5852" w:hanging="360"/>
      </w:pPr>
    </w:lvl>
  </w:abstractNum>
  <w:abstractNum w:abstractNumId="22">
    <w:nsid w:val="505E5C38"/>
    <w:multiLevelType w:val="multilevel"/>
    <w:tmpl w:val="2CB47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512F48B1"/>
    <w:multiLevelType w:val="hybridMultilevel"/>
    <w:tmpl w:val="3154DCC4"/>
    <w:lvl w:ilvl="0" w:tplc="036A5578">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528739B3"/>
    <w:multiLevelType w:val="hybridMultilevel"/>
    <w:tmpl w:val="91E20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34F3765"/>
    <w:multiLevelType w:val="hybridMultilevel"/>
    <w:tmpl w:val="B088F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53F190F"/>
    <w:multiLevelType w:val="hybridMultilevel"/>
    <w:tmpl w:val="374A8242"/>
    <w:lvl w:ilvl="0" w:tplc="040A0001">
      <w:start w:val="1"/>
      <w:numFmt w:val="bullet"/>
      <w:lvlText w:val=""/>
      <w:lvlJc w:val="left"/>
      <w:pPr>
        <w:ind w:left="780" w:hanging="360"/>
      </w:pPr>
      <w:rPr>
        <w:rFonts w:ascii="Symbol" w:hAnsi="Symbol" w:hint="default"/>
      </w:rPr>
    </w:lvl>
    <w:lvl w:ilvl="1" w:tplc="040A0003" w:tentative="1">
      <w:start w:val="1"/>
      <w:numFmt w:val="bullet"/>
      <w:lvlText w:val="o"/>
      <w:lvlJc w:val="left"/>
      <w:pPr>
        <w:ind w:left="1500" w:hanging="360"/>
      </w:pPr>
      <w:rPr>
        <w:rFonts w:ascii="Courier New" w:hAnsi="Courier New" w:hint="default"/>
      </w:rPr>
    </w:lvl>
    <w:lvl w:ilvl="2" w:tplc="040A0005" w:tentative="1">
      <w:start w:val="1"/>
      <w:numFmt w:val="bullet"/>
      <w:lvlText w:val=""/>
      <w:lvlJc w:val="left"/>
      <w:pPr>
        <w:ind w:left="2220" w:hanging="360"/>
      </w:pPr>
      <w:rPr>
        <w:rFonts w:ascii="Wingdings" w:hAnsi="Wingdings" w:hint="default"/>
      </w:rPr>
    </w:lvl>
    <w:lvl w:ilvl="3" w:tplc="040A0001" w:tentative="1">
      <w:start w:val="1"/>
      <w:numFmt w:val="bullet"/>
      <w:lvlText w:val=""/>
      <w:lvlJc w:val="left"/>
      <w:pPr>
        <w:ind w:left="2940" w:hanging="360"/>
      </w:pPr>
      <w:rPr>
        <w:rFonts w:ascii="Symbol" w:hAnsi="Symbol" w:hint="default"/>
      </w:rPr>
    </w:lvl>
    <w:lvl w:ilvl="4" w:tplc="040A0003" w:tentative="1">
      <w:start w:val="1"/>
      <w:numFmt w:val="bullet"/>
      <w:lvlText w:val="o"/>
      <w:lvlJc w:val="left"/>
      <w:pPr>
        <w:ind w:left="3660" w:hanging="360"/>
      </w:pPr>
      <w:rPr>
        <w:rFonts w:ascii="Courier New" w:hAnsi="Courier New" w:hint="default"/>
      </w:rPr>
    </w:lvl>
    <w:lvl w:ilvl="5" w:tplc="040A0005" w:tentative="1">
      <w:start w:val="1"/>
      <w:numFmt w:val="bullet"/>
      <w:lvlText w:val=""/>
      <w:lvlJc w:val="left"/>
      <w:pPr>
        <w:ind w:left="4380" w:hanging="360"/>
      </w:pPr>
      <w:rPr>
        <w:rFonts w:ascii="Wingdings" w:hAnsi="Wingdings" w:hint="default"/>
      </w:rPr>
    </w:lvl>
    <w:lvl w:ilvl="6" w:tplc="040A0001" w:tentative="1">
      <w:start w:val="1"/>
      <w:numFmt w:val="bullet"/>
      <w:lvlText w:val=""/>
      <w:lvlJc w:val="left"/>
      <w:pPr>
        <w:ind w:left="5100" w:hanging="360"/>
      </w:pPr>
      <w:rPr>
        <w:rFonts w:ascii="Symbol" w:hAnsi="Symbol" w:hint="default"/>
      </w:rPr>
    </w:lvl>
    <w:lvl w:ilvl="7" w:tplc="040A0003" w:tentative="1">
      <w:start w:val="1"/>
      <w:numFmt w:val="bullet"/>
      <w:lvlText w:val="o"/>
      <w:lvlJc w:val="left"/>
      <w:pPr>
        <w:ind w:left="5820" w:hanging="360"/>
      </w:pPr>
      <w:rPr>
        <w:rFonts w:ascii="Courier New" w:hAnsi="Courier New" w:hint="default"/>
      </w:rPr>
    </w:lvl>
    <w:lvl w:ilvl="8" w:tplc="040A0005" w:tentative="1">
      <w:start w:val="1"/>
      <w:numFmt w:val="bullet"/>
      <w:lvlText w:val=""/>
      <w:lvlJc w:val="left"/>
      <w:pPr>
        <w:ind w:left="6540" w:hanging="360"/>
      </w:pPr>
      <w:rPr>
        <w:rFonts w:ascii="Wingdings" w:hAnsi="Wingdings" w:hint="default"/>
      </w:rPr>
    </w:lvl>
  </w:abstractNum>
  <w:abstractNum w:abstractNumId="27">
    <w:nsid w:val="573847FB"/>
    <w:multiLevelType w:val="multilevel"/>
    <w:tmpl w:val="651C5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19F514D"/>
    <w:multiLevelType w:val="multilevel"/>
    <w:tmpl w:val="67767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5BB0DDB"/>
    <w:multiLevelType w:val="multilevel"/>
    <w:tmpl w:val="8890A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5F81F58"/>
    <w:multiLevelType w:val="multilevel"/>
    <w:tmpl w:val="68061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A9409F1"/>
    <w:multiLevelType w:val="multilevel"/>
    <w:tmpl w:val="3648E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F2110AC"/>
    <w:multiLevelType w:val="hybridMultilevel"/>
    <w:tmpl w:val="B74EBDA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3">
    <w:nsid w:val="6FAB3D63"/>
    <w:multiLevelType w:val="multilevel"/>
    <w:tmpl w:val="8472A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70FA64C3"/>
    <w:multiLevelType w:val="hybridMultilevel"/>
    <w:tmpl w:val="C7F233E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5">
    <w:nsid w:val="71307F8B"/>
    <w:multiLevelType w:val="hybridMultilevel"/>
    <w:tmpl w:val="8124B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2917834"/>
    <w:multiLevelType w:val="hybridMultilevel"/>
    <w:tmpl w:val="7CB0D3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7931104D"/>
    <w:multiLevelType w:val="multilevel"/>
    <w:tmpl w:val="12F0E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79BC7C13"/>
    <w:multiLevelType w:val="hybridMultilevel"/>
    <w:tmpl w:val="61508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A8108B7"/>
    <w:multiLevelType w:val="hybridMultilevel"/>
    <w:tmpl w:val="FAFEAD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7E4325A5"/>
    <w:multiLevelType w:val="multilevel"/>
    <w:tmpl w:val="AD1EC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34"/>
  </w:num>
  <w:num w:numId="3">
    <w:abstractNumId w:val="2"/>
  </w:num>
  <w:num w:numId="4">
    <w:abstractNumId w:val="39"/>
  </w:num>
  <w:num w:numId="5">
    <w:abstractNumId w:val="23"/>
  </w:num>
  <w:num w:numId="6">
    <w:abstractNumId w:val="15"/>
  </w:num>
  <w:num w:numId="7">
    <w:abstractNumId w:val="36"/>
  </w:num>
  <w:num w:numId="8">
    <w:abstractNumId w:val="16"/>
  </w:num>
  <w:num w:numId="9">
    <w:abstractNumId w:val="26"/>
  </w:num>
  <w:num w:numId="10">
    <w:abstractNumId w:val="12"/>
  </w:num>
  <w:num w:numId="11">
    <w:abstractNumId w:val="24"/>
  </w:num>
  <w:num w:numId="12">
    <w:abstractNumId w:val="1"/>
  </w:num>
  <w:num w:numId="13">
    <w:abstractNumId w:val="19"/>
  </w:num>
  <w:num w:numId="14">
    <w:abstractNumId w:val="35"/>
  </w:num>
  <w:num w:numId="15">
    <w:abstractNumId w:val="38"/>
  </w:num>
  <w:num w:numId="16">
    <w:abstractNumId w:val="25"/>
  </w:num>
  <w:num w:numId="17">
    <w:abstractNumId w:val="3"/>
  </w:num>
  <w:num w:numId="18">
    <w:abstractNumId w:val="10"/>
  </w:num>
  <w:num w:numId="19">
    <w:abstractNumId w:val="29"/>
  </w:num>
  <w:num w:numId="20">
    <w:abstractNumId w:val="8"/>
  </w:num>
  <w:num w:numId="21">
    <w:abstractNumId w:val="37"/>
  </w:num>
  <w:num w:numId="22">
    <w:abstractNumId w:val="31"/>
  </w:num>
  <w:num w:numId="23">
    <w:abstractNumId w:val="4"/>
  </w:num>
  <w:num w:numId="24">
    <w:abstractNumId w:val="0"/>
  </w:num>
  <w:num w:numId="25">
    <w:abstractNumId w:val="14"/>
  </w:num>
  <w:num w:numId="26">
    <w:abstractNumId w:val="7"/>
  </w:num>
  <w:num w:numId="27">
    <w:abstractNumId w:val="22"/>
  </w:num>
  <w:num w:numId="28">
    <w:abstractNumId w:val="5"/>
  </w:num>
  <w:num w:numId="29">
    <w:abstractNumId w:val="6"/>
  </w:num>
  <w:num w:numId="30">
    <w:abstractNumId w:val="28"/>
  </w:num>
  <w:num w:numId="31">
    <w:abstractNumId w:val="17"/>
  </w:num>
  <w:num w:numId="32">
    <w:abstractNumId w:val="27"/>
  </w:num>
  <w:num w:numId="33">
    <w:abstractNumId w:val="21"/>
  </w:num>
  <w:num w:numId="34">
    <w:abstractNumId w:val="33"/>
  </w:num>
  <w:num w:numId="35">
    <w:abstractNumId w:val="30"/>
  </w:num>
  <w:num w:numId="36">
    <w:abstractNumId w:val="13"/>
  </w:num>
  <w:num w:numId="37">
    <w:abstractNumId w:val="20"/>
  </w:num>
  <w:num w:numId="38">
    <w:abstractNumId w:val="40"/>
  </w:num>
  <w:num w:numId="39">
    <w:abstractNumId w:val="32"/>
  </w:num>
  <w:num w:numId="40">
    <w:abstractNumId w:val="18"/>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705"/>
    <w:rsid w:val="000110B3"/>
    <w:rsid w:val="0002128B"/>
    <w:rsid w:val="00027EC3"/>
    <w:rsid w:val="00033D5F"/>
    <w:rsid w:val="0004104A"/>
    <w:rsid w:val="00057A4D"/>
    <w:rsid w:val="0007426A"/>
    <w:rsid w:val="000C3D28"/>
    <w:rsid w:val="00110475"/>
    <w:rsid w:val="00126DD6"/>
    <w:rsid w:val="001526E5"/>
    <w:rsid w:val="00153492"/>
    <w:rsid w:val="00161292"/>
    <w:rsid w:val="0017151D"/>
    <w:rsid w:val="00177E40"/>
    <w:rsid w:val="001914AA"/>
    <w:rsid w:val="001B2D93"/>
    <w:rsid w:val="001B63DB"/>
    <w:rsid w:val="001C1E4F"/>
    <w:rsid w:val="001D7F01"/>
    <w:rsid w:val="00203202"/>
    <w:rsid w:val="00212B24"/>
    <w:rsid w:val="00214EDC"/>
    <w:rsid w:val="00233B53"/>
    <w:rsid w:val="00256E28"/>
    <w:rsid w:val="00293CF3"/>
    <w:rsid w:val="002A6A5D"/>
    <w:rsid w:val="002B4030"/>
    <w:rsid w:val="002C1798"/>
    <w:rsid w:val="002D0F2D"/>
    <w:rsid w:val="0031055B"/>
    <w:rsid w:val="003127F1"/>
    <w:rsid w:val="003342C1"/>
    <w:rsid w:val="00345B8A"/>
    <w:rsid w:val="003461DC"/>
    <w:rsid w:val="00394BAC"/>
    <w:rsid w:val="00395883"/>
    <w:rsid w:val="003A0F6A"/>
    <w:rsid w:val="003A54E0"/>
    <w:rsid w:val="003A702A"/>
    <w:rsid w:val="003B3A7E"/>
    <w:rsid w:val="003C2A4D"/>
    <w:rsid w:val="003C5A09"/>
    <w:rsid w:val="004040AC"/>
    <w:rsid w:val="00416EDF"/>
    <w:rsid w:val="004209FF"/>
    <w:rsid w:val="0043301C"/>
    <w:rsid w:val="00443589"/>
    <w:rsid w:val="00447D18"/>
    <w:rsid w:val="00457A56"/>
    <w:rsid w:val="0046177E"/>
    <w:rsid w:val="00473567"/>
    <w:rsid w:val="004B686B"/>
    <w:rsid w:val="004C0E66"/>
    <w:rsid w:val="004E4D5C"/>
    <w:rsid w:val="004E56A8"/>
    <w:rsid w:val="0050132F"/>
    <w:rsid w:val="005121E5"/>
    <w:rsid w:val="00515DD7"/>
    <w:rsid w:val="0053305C"/>
    <w:rsid w:val="00561501"/>
    <w:rsid w:val="00564519"/>
    <w:rsid w:val="0056609D"/>
    <w:rsid w:val="00594A35"/>
    <w:rsid w:val="005A4108"/>
    <w:rsid w:val="005B782C"/>
    <w:rsid w:val="005C00A7"/>
    <w:rsid w:val="005D2647"/>
    <w:rsid w:val="005D5E9C"/>
    <w:rsid w:val="005F1CDE"/>
    <w:rsid w:val="005F355F"/>
    <w:rsid w:val="005F53A1"/>
    <w:rsid w:val="005F5F03"/>
    <w:rsid w:val="00611C88"/>
    <w:rsid w:val="00665220"/>
    <w:rsid w:val="00677DE5"/>
    <w:rsid w:val="00684487"/>
    <w:rsid w:val="006B08DD"/>
    <w:rsid w:val="006B1A59"/>
    <w:rsid w:val="006B37CF"/>
    <w:rsid w:val="006E66B7"/>
    <w:rsid w:val="006F0F8C"/>
    <w:rsid w:val="007053B5"/>
    <w:rsid w:val="007124B2"/>
    <w:rsid w:val="007132FF"/>
    <w:rsid w:val="007160D2"/>
    <w:rsid w:val="00737A25"/>
    <w:rsid w:val="00737B5F"/>
    <w:rsid w:val="00767997"/>
    <w:rsid w:val="0077511F"/>
    <w:rsid w:val="007D5D73"/>
    <w:rsid w:val="008079BA"/>
    <w:rsid w:val="008114B0"/>
    <w:rsid w:val="00830289"/>
    <w:rsid w:val="00830CBF"/>
    <w:rsid w:val="00840C3C"/>
    <w:rsid w:val="00845065"/>
    <w:rsid w:val="00853279"/>
    <w:rsid w:val="008606DD"/>
    <w:rsid w:val="00895C91"/>
    <w:rsid w:val="008A4166"/>
    <w:rsid w:val="008B7E2E"/>
    <w:rsid w:val="008C091B"/>
    <w:rsid w:val="008C2F8A"/>
    <w:rsid w:val="008D121F"/>
    <w:rsid w:val="008D7BB6"/>
    <w:rsid w:val="008F3FB0"/>
    <w:rsid w:val="008F642B"/>
    <w:rsid w:val="009148D9"/>
    <w:rsid w:val="00917338"/>
    <w:rsid w:val="009412B7"/>
    <w:rsid w:val="009968E8"/>
    <w:rsid w:val="009C0268"/>
    <w:rsid w:val="009C3D29"/>
    <w:rsid w:val="009D7324"/>
    <w:rsid w:val="009F3913"/>
    <w:rsid w:val="00A15458"/>
    <w:rsid w:val="00A30EBF"/>
    <w:rsid w:val="00A34B0E"/>
    <w:rsid w:val="00A37C58"/>
    <w:rsid w:val="00A44E32"/>
    <w:rsid w:val="00A45725"/>
    <w:rsid w:val="00A77705"/>
    <w:rsid w:val="00A852D7"/>
    <w:rsid w:val="00A94E2B"/>
    <w:rsid w:val="00AB0CA1"/>
    <w:rsid w:val="00AD3280"/>
    <w:rsid w:val="00AD3344"/>
    <w:rsid w:val="00B12CE2"/>
    <w:rsid w:val="00B3759C"/>
    <w:rsid w:val="00B50A86"/>
    <w:rsid w:val="00B638A6"/>
    <w:rsid w:val="00B967DF"/>
    <w:rsid w:val="00BA02DD"/>
    <w:rsid w:val="00BC777D"/>
    <w:rsid w:val="00BD5927"/>
    <w:rsid w:val="00BE668A"/>
    <w:rsid w:val="00BF6398"/>
    <w:rsid w:val="00C607FF"/>
    <w:rsid w:val="00C67A5A"/>
    <w:rsid w:val="00C80A98"/>
    <w:rsid w:val="00C97A18"/>
    <w:rsid w:val="00CC2245"/>
    <w:rsid w:val="00CC2991"/>
    <w:rsid w:val="00CD7E0A"/>
    <w:rsid w:val="00CE0C60"/>
    <w:rsid w:val="00CE3262"/>
    <w:rsid w:val="00CF0C94"/>
    <w:rsid w:val="00D23E77"/>
    <w:rsid w:val="00D32EC1"/>
    <w:rsid w:val="00D34DB4"/>
    <w:rsid w:val="00D35F0D"/>
    <w:rsid w:val="00D54386"/>
    <w:rsid w:val="00D54ADF"/>
    <w:rsid w:val="00D82E83"/>
    <w:rsid w:val="00DA225E"/>
    <w:rsid w:val="00DD7816"/>
    <w:rsid w:val="00DE6A44"/>
    <w:rsid w:val="00DF22E1"/>
    <w:rsid w:val="00DF568E"/>
    <w:rsid w:val="00DF6D5E"/>
    <w:rsid w:val="00E07B0C"/>
    <w:rsid w:val="00E22A4A"/>
    <w:rsid w:val="00E65C1E"/>
    <w:rsid w:val="00E86586"/>
    <w:rsid w:val="00E9621A"/>
    <w:rsid w:val="00EA5EBF"/>
    <w:rsid w:val="00EB609D"/>
    <w:rsid w:val="00EC7728"/>
    <w:rsid w:val="00EE2C99"/>
    <w:rsid w:val="00EF1D48"/>
    <w:rsid w:val="00F04A25"/>
    <w:rsid w:val="00F14236"/>
    <w:rsid w:val="00F20CB0"/>
    <w:rsid w:val="00F32186"/>
    <w:rsid w:val="00F34197"/>
    <w:rsid w:val="00F378AF"/>
    <w:rsid w:val="00F4486D"/>
    <w:rsid w:val="00F44DFA"/>
    <w:rsid w:val="00F475DC"/>
    <w:rsid w:val="00F85FBD"/>
    <w:rsid w:val="00F9419A"/>
    <w:rsid w:val="00FA402D"/>
    <w:rsid w:val="00FB1F2E"/>
    <w:rsid w:val="00FC3344"/>
    <w:rsid w:val="00FD51A6"/>
  </w:rsids>
  <m:mathPr>
    <m:mathFont m:val="Cambria Math"/>
    <m:brkBin m:val="before"/>
    <m:brkBinSub m:val="--"/>
    <m:smallFrac/>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D2C3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0289"/>
    <w:pPr>
      <w:spacing w:after="0" w:line="240" w:lineRule="auto"/>
    </w:pPr>
    <w:rPr>
      <w:rFonts w:ascii="Times New Roman" w:eastAsia="Times New Roman" w:hAnsi="Times New Roman" w:cs="Times New Roman"/>
      <w:sz w:val="24"/>
      <w:szCs w:val="24"/>
      <w:lang w:val="es-CL" w:eastAsia="es-ES_tradnl"/>
    </w:rPr>
  </w:style>
  <w:style w:type="paragraph" w:styleId="Heading1">
    <w:name w:val="heading 1"/>
    <w:basedOn w:val="Normal"/>
    <w:next w:val="Normal"/>
    <w:link w:val="Heading1Char"/>
    <w:qFormat/>
    <w:rsid w:val="00A15458"/>
    <w:pPr>
      <w:keepNext/>
      <w:ind w:left="2520"/>
      <w:jc w:val="center"/>
      <w:outlineLvl w:val="0"/>
    </w:pPr>
    <w:rPr>
      <w:rFonts w:ascii="Arial" w:hAnsi="Arial" w:cs="Arial"/>
      <w:sz w:val="32"/>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77705"/>
    <w:pPr>
      <w:tabs>
        <w:tab w:val="center" w:pos="4252"/>
        <w:tab w:val="right" w:pos="8504"/>
      </w:tabs>
    </w:pPr>
  </w:style>
  <w:style w:type="character" w:customStyle="1" w:styleId="HeaderChar">
    <w:name w:val="Header Char"/>
    <w:basedOn w:val="DefaultParagraphFont"/>
    <w:link w:val="Header"/>
    <w:rsid w:val="00A77705"/>
    <w:rPr>
      <w:lang w:val="es-ES_tradnl"/>
    </w:rPr>
  </w:style>
  <w:style w:type="paragraph" w:styleId="Footer">
    <w:name w:val="footer"/>
    <w:basedOn w:val="Normal"/>
    <w:link w:val="FooterChar"/>
    <w:uiPriority w:val="99"/>
    <w:unhideWhenUsed/>
    <w:rsid w:val="00A77705"/>
    <w:pPr>
      <w:tabs>
        <w:tab w:val="center" w:pos="4252"/>
        <w:tab w:val="right" w:pos="8504"/>
      </w:tabs>
    </w:pPr>
  </w:style>
  <w:style w:type="character" w:customStyle="1" w:styleId="FooterChar">
    <w:name w:val="Footer Char"/>
    <w:basedOn w:val="DefaultParagraphFont"/>
    <w:link w:val="Footer"/>
    <w:uiPriority w:val="99"/>
    <w:rsid w:val="00A77705"/>
    <w:rPr>
      <w:lang w:val="es-ES_tradnl"/>
    </w:rPr>
  </w:style>
  <w:style w:type="paragraph" w:styleId="BalloonText">
    <w:name w:val="Balloon Text"/>
    <w:basedOn w:val="Normal"/>
    <w:link w:val="BalloonTextChar"/>
    <w:uiPriority w:val="99"/>
    <w:semiHidden/>
    <w:unhideWhenUsed/>
    <w:rsid w:val="00A77705"/>
    <w:rPr>
      <w:rFonts w:ascii="Tahoma" w:hAnsi="Tahoma" w:cs="Tahoma"/>
      <w:sz w:val="16"/>
      <w:szCs w:val="16"/>
    </w:rPr>
  </w:style>
  <w:style w:type="character" w:customStyle="1" w:styleId="BalloonTextChar">
    <w:name w:val="Balloon Text Char"/>
    <w:basedOn w:val="DefaultParagraphFont"/>
    <w:link w:val="BalloonText"/>
    <w:uiPriority w:val="99"/>
    <w:semiHidden/>
    <w:rsid w:val="00A77705"/>
    <w:rPr>
      <w:rFonts w:ascii="Tahoma" w:hAnsi="Tahoma" w:cs="Tahoma"/>
      <w:sz w:val="16"/>
      <w:szCs w:val="16"/>
      <w:lang w:val="es-ES_tradnl"/>
    </w:rPr>
  </w:style>
  <w:style w:type="paragraph" w:styleId="ListParagraph">
    <w:name w:val="List Paragraph"/>
    <w:basedOn w:val="Normal"/>
    <w:uiPriority w:val="34"/>
    <w:qFormat/>
    <w:rsid w:val="00BC777D"/>
    <w:pPr>
      <w:ind w:left="720"/>
      <w:contextualSpacing/>
    </w:pPr>
  </w:style>
  <w:style w:type="character" w:styleId="Hyperlink">
    <w:name w:val="Hyperlink"/>
    <w:basedOn w:val="DefaultParagraphFont"/>
    <w:uiPriority w:val="99"/>
    <w:unhideWhenUsed/>
    <w:rsid w:val="0053305C"/>
    <w:rPr>
      <w:color w:val="0000FF"/>
      <w:u w:val="single"/>
    </w:rPr>
  </w:style>
  <w:style w:type="character" w:styleId="HTMLCite">
    <w:name w:val="HTML Cite"/>
    <w:basedOn w:val="DefaultParagraphFont"/>
    <w:uiPriority w:val="99"/>
    <w:semiHidden/>
    <w:unhideWhenUsed/>
    <w:rsid w:val="0053305C"/>
    <w:rPr>
      <w:i/>
      <w:iCs/>
    </w:rPr>
  </w:style>
  <w:style w:type="character" w:customStyle="1" w:styleId="Heading1Char">
    <w:name w:val="Heading 1 Char"/>
    <w:basedOn w:val="DefaultParagraphFont"/>
    <w:link w:val="Heading1"/>
    <w:rsid w:val="00A15458"/>
    <w:rPr>
      <w:rFonts w:ascii="Arial" w:eastAsia="Times New Roman" w:hAnsi="Arial" w:cs="Arial"/>
      <w:sz w:val="32"/>
      <w:szCs w:val="24"/>
    </w:rPr>
  </w:style>
  <w:style w:type="paragraph" w:customStyle="1" w:styleId="prrafo">
    <w:name w:val="párrafo"/>
    <w:basedOn w:val="Normal"/>
    <w:link w:val="prrafoCar"/>
    <w:qFormat/>
    <w:rsid w:val="007D5D73"/>
    <w:pPr>
      <w:autoSpaceDE w:val="0"/>
      <w:autoSpaceDN w:val="0"/>
      <w:adjustRightInd w:val="0"/>
    </w:pPr>
    <w:rPr>
      <w:rFonts w:ascii="Open Sans" w:hAnsi="Open Sans" w:cs="Open Sans Light"/>
      <w:color w:val="4F81BD" w:themeColor="accent1"/>
      <w:sz w:val="19"/>
      <w:szCs w:val="19"/>
      <w:lang w:val="pt-BR"/>
    </w:rPr>
  </w:style>
  <w:style w:type="character" w:customStyle="1" w:styleId="prrafoCar">
    <w:name w:val="párrafo Car"/>
    <w:basedOn w:val="DefaultParagraphFont"/>
    <w:link w:val="prrafo"/>
    <w:rsid w:val="007D5D73"/>
    <w:rPr>
      <w:rFonts w:ascii="Open Sans" w:hAnsi="Open Sans" w:cs="Open Sans Light"/>
      <w:color w:val="4F81BD" w:themeColor="accent1"/>
      <w:sz w:val="19"/>
      <w:szCs w:val="19"/>
      <w:lang w:val="pt-BR"/>
    </w:rPr>
  </w:style>
  <w:style w:type="paragraph" w:styleId="NormalWeb">
    <w:name w:val="Normal (Web)"/>
    <w:basedOn w:val="Normal"/>
    <w:uiPriority w:val="99"/>
    <w:unhideWhenUsed/>
    <w:rsid w:val="00126DD6"/>
    <w:pPr>
      <w:spacing w:before="100" w:beforeAutospacing="1" w:after="100" w:afterAutospacing="1"/>
    </w:pPr>
  </w:style>
  <w:style w:type="character" w:customStyle="1" w:styleId="notranslate">
    <w:name w:val="notranslate"/>
    <w:basedOn w:val="DefaultParagraphFont"/>
    <w:rsid w:val="00126DD6"/>
  </w:style>
  <w:style w:type="character" w:styleId="FollowedHyperlink">
    <w:name w:val="FollowedHyperlink"/>
    <w:basedOn w:val="DefaultParagraphFont"/>
    <w:uiPriority w:val="99"/>
    <w:semiHidden/>
    <w:unhideWhenUsed/>
    <w:rsid w:val="005B782C"/>
    <w:rPr>
      <w:color w:val="800080" w:themeColor="followedHyperlink"/>
      <w:u w:val="single"/>
    </w:rPr>
  </w:style>
  <w:style w:type="character" w:customStyle="1" w:styleId="UnresolvedMention">
    <w:name w:val="Unresolved Mention"/>
    <w:basedOn w:val="DefaultParagraphFont"/>
    <w:uiPriority w:val="99"/>
    <w:semiHidden/>
    <w:unhideWhenUsed/>
    <w:rsid w:val="005B782C"/>
    <w:rPr>
      <w:color w:val="605E5C"/>
      <w:shd w:val="clear" w:color="auto" w:fill="E1DFDD"/>
    </w:rPr>
  </w:style>
  <w:style w:type="paragraph" w:styleId="HTMLPreformatted">
    <w:name w:val="HTML Preformatted"/>
    <w:basedOn w:val="Normal"/>
    <w:link w:val="HTMLPreformattedChar"/>
    <w:uiPriority w:val="99"/>
    <w:semiHidden/>
    <w:unhideWhenUsed/>
    <w:rsid w:val="00EC77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EC7728"/>
    <w:rPr>
      <w:rFonts w:ascii="Courier New" w:eastAsia="Times New Roman" w:hAnsi="Courier New" w:cs="Courier New"/>
      <w:sz w:val="20"/>
      <w:szCs w:val="20"/>
      <w:lang w:val="es-CL" w:eastAsia="es-ES_tradn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0289"/>
    <w:pPr>
      <w:spacing w:after="0" w:line="240" w:lineRule="auto"/>
    </w:pPr>
    <w:rPr>
      <w:rFonts w:ascii="Times New Roman" w:eastAsia="Times New Roman" w:hAnsi="Times New Roman" w:cs="Times New Roman"/>
      <w:sz w:val="24"/>
      <w:szCs w:val="24"/>
      <w:lang w:val="es-CL" w:eastAsia="es-ES_tradnl"/>
    </w:rPr>
  </w:style>
  <w:style w:type="paragraph" w:styleId="Heading1">
    <w:name w:val="heading 1"/>
    <w:basedOn w:val="Normal"/>
    <w:next w:val="Normal"/>
    <w:link w:val="Heading1Char"/>
    <w:qFormat/>
    <w:rsid w:val="00A15458"/>
    <w:pPr>
      <w:keepNext/>
      <w:ind w:left="2520"/>
      <w:jc w:val="center"/>
      <w:outlineLvl w:val="0"/>
    </w:pPr>
    <w:rPr>
      <w:rFonts w:ascii="Arial" w:hAnsi="Arial" w:cs="Arial"/>
      <w:sz w:val="32"/>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77705"/>
    <w:pPr>
      <w:tabs>
        <w:tab w:val="center" w:pos="4252"/>
        <w:tab w:val="right" w:pos="8504"/>
      </w:tabs>
    </w:pPr>
  </w:style>
  <w:style w:type="character" w:customStyle="1" w:styleId="HeaderChar">
    <w:name w:val="Header Char"/>
    <w:basedOn w:val="DefaultParagraphFont"/>
    <w:link w:val="Header"/>
    <w:rsid w:val="00A77705"/>
    <w:rPr>
      <w:lang w:val="es-ES_tradnl"/>
    </w:rPr>
  </w:style>
  <w:style w:type="paragraph" w:styleId="Footer">
    <w:name w:val="footer"/>
    <w:basedOn w:val="Normal"/>
    <w:link w:val="FooterChar"/>
    <w:uiPriority w:val="99"/>
    <w:unhideWhenUsed/>
    <w:rsid w:val="00A77705"/>
    <w:pPr>
      <w:tabs>
        <w:tab w:val="center" w:pos="4252"/>
        <w:tab w:val="right" w:pos="8504"/>
      </w:tabs>
    </w:pPr>
  </w:style>
  <w:style w:type="character" w:customStyle="1" w:styleId="FooterChar">
    <w:name w:val="Footer Char"/>
    <w:basedOn w:val="DefaultParagraphFont"/>
    <w:link w:val="Footer"/>
    <w:uiPriority w:val="99"/>
    <w:rsid w:val="00A77705"/>
    <w:rPr>
      <w:lang w:val="es-ES_tradnl"/>
    </w:rPr>
  </w:style>
  <w:style w:type="paragraph" w:styleId="BalloonText">
    <w:name w:val="Balloon Text"/>
    <w:basedOn w:val="Normal"/>
    <w:link w:val="BalloonTextChar"/>
    <w:uiPriority w:val="99"/>
    <w:semiHidden/>
    <w:unhideWhenUsed/>
    <w:rsid w:val="00A77705"/>
    <w:rPr>
      <w:rFonts w:ascii="Tahoma" w:hAnsi="Tahoma" w:cs="Tahoma"/>
      <w:sz w:val="16"/>
      <w:szCs w:val="16"/>
    </w:rPr>
  </w:style>
  <w:style w:type="character" w:customStyle="1" w:styleId="BalloonTextChar">
    <w:name w:val="Balloon Text Char"/>
    <w:basedOn w:val="DefaultParagraphFont"/>
    <w:link w:val="BalloonText"/>
    <w:uiPriority w:val="99"/>
    <w:semiHidden/>
    <w:rsid w:val="00A77705"/>
    <w:rPr>
      <w:rFonts w:ascii="Tahoma" w:hAnsi="Tahoma" w:cs="Tahoma"/>
      <w:sz w:val="16"/>
      <w:szCs w:val="16"/>
      <w:lang w:val="es-ES_tradnl"/>
    </w:rPr>
  </w:style>
  <w:style w:type="paragraph" w:styleId="ListParagraph">
    <w:name w:val="List Paragraph"/>
    <w:basedOn w:val="Normal"/>
    <w:uiPriority w:val="34"/>
    <w:qFormat/>
    <w:rsid w:val="00BC777D"/>
    <w:pPr>
      <w:ind w:left="720"/>
      <w:contextualSpacing/>
    </w:pPr>
  </w:style>
  <w:style w:type="character" w:styleId="Hyperlink">
    <w:name w:val="Hyperlink"/>
    <w:basedOn w:val="DefaultParagraphFont"/>
    <w:uiPriority w:val="99"/>
    <w:unhideWhenUsed/>
    <w:rsid w:val="0053305C"/>
    <w:rPr>
      <w:color w:val="0000FF"/>
      <w:u w:val="single"/>
    </w:rPr>
  </w:style>
  <w:style w:type="character" w:styleId="HTMLCite">
    <w:name w:val="HTML Cite"/>
    <w:basedOn w:val="DefaultParagraphFont"/>
    <w:uiPriority w:val="99"/>
    <w:semiHidden/>
    <w:unhideWhenUsed/>
    <w:rsid w:val="0053305C"/>
    <w:rPr>
      <w:i/>
      <w:iCs/>
    </w:rPr>
  </w:style>
  <w:style w:type="character" w:customStyle="1" w:styleId="Heading1Char">
    <w:name w:val="Heading 1 Char"/>
    <w:basedOn w:val="DefaultParagraphFont"/>
    <w:link w:val="Heading1"/>
    <w:rsid w:val="00A15458"/>
    <w:rPr>
      <w:rFonts w:ascii="Arial" w:eastAsia="Times New Roman" w:hAnsi="Arial" w:cs="Arial"/>
      <w:sz w:val="32"/>
      <w:szCs w:val="24"/>
    </w:rPr>
  </w:style>
  <w:style w:type="paragraph" w:customStyle="1" w:styleId="prrafo">
    <w:name w:val="párrafo"/>
    <w:basedOn w:val="Normal"/>
    <w:link w:val="prrafoCar"/>
    <w:qFormat/>
    <w:rsid w:val="007D5D73"/>
    <w:pPr>
      <w:autoSpaceDE w:val="0"/>
      <w:autoSpaceDN w:val="0"/>
      <w:adjustRightInd w:val="0"/>
    </w:pPr>
    <w:rPr>
      <w:rFonts w:ascii="Open Sans" w:hAnsi="Open Sans" w:cs="Open Sans Light"/>
      <w:color w:val="4F81BD" w:themeColor="accent1"/>
      <w:sz w:val="19"/>
      <w:szCs w:val="19"/>
      <w:lang w:val="pt-BR"/>
    </w:rPr>
  </w:style>
  <w:style w:type="character" w:customStyle="1" w:styleId="prrafoCar">
    <w:name w:val="párrafo Car"/>
    <w:basedOn w:val="DefaultParagraphFont"/>
    <w:link w:val="prrafo"/>
    <w:rsid w:val="007D5D73"/>
    <w:rPr>
      <w:rFonts w:ascii="Open Sans" w:hAnsi="Open Sans" w:cs="Open Sans Light"/>
      <w:color w:val="4F81BD" w:themeColor="accent1"/>
      <w:sz w:val="19"/>
      <w:szCs w:val="19"/>
      <w:lang w:val="pt-BR"/>
    </w:rPr>
  </w:style>
  <w:style w:type="paragraph" w:styleId="NormalWeb">
    <w:name w:val="Normal (Web)"/>
    <w:basedOn w:val="Normal"/>
    <w:uiPriority w:val="99"/>
    <w:unhideWhenUsed/>
    <w:rsid w:val="00126DD6"/>
    <w:pPr>
      <w:spacing w:before="100" w:beforeAutospacing="1" w:after="100" w:afterAutospacing="1"/>
    </w:pPr>
  </w:style>
  <w:style w:type="character" w:customStyle="1" w:styleId="notranslate">
    <w:name w:val="notranslate"/>
    <w:basedOn w:val="DefaultParagraphFont"/>
    <w:rsid w:val="00126DD6"/>
  </w:style>
  <w:style w:type="character" w:styleId="FollowedHyperlink">
    <w:name w:val="FollowedHyperlink"/>
    <w:basedOn w:val="DefaultParagraphFont"/>
    <w:uiPriority w:val="99"/>
    <w:semiHidden/>
    <w:unhideWhenUsed/>
    <w:rsid w:val="005B782C"/>
    <w:rPr>
      <w:color w:val="800080" w:themeColor="followedHyperlink"/>
      <w:u w:val="single"/>
    </w:rPr>
  </w:style>
  <w:style w:type="character" w:customStyle="1" w:styleId="UnresolvedMention">
    <w:name w:val="Unresolved Mention"/>
    <w:basedOn w:val="DefaultParagraphFont"/>
    <w:uiPriority w:val="99"/>
    <w:semiHidden/>
    <w:unhideWhenUsed/>
    <w:rsid w:val="005B782C"/>
    <w:rPr>
      <w:color w:val="605E5C"/>
      <w:shd w:val="clear" w:color="auto" w:fill="E1DFDD"/>
    </w:rPr>
  </w:style>
  <w:style w:type="paragraph" w:styleId="HTMLPreformatted">
    <w:name w:val="HTML Preformatted"/>
    <w:basedOn w:val="Normal"/>
    <w:link w:val="HTMLPreformattedChar"/>
    <w:uiPriority w:val="99"/>
    <w:semiHidden/>
    <w:unhideWhenUsed/>
    <w:rsid w:val="00EC77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EC7728"/>
    <w:rPr>
      <w:rFonts w:ascii="Courier New" w:eastAsia="Times New Roman" w:hAnsi="Courier New" w:cs="Courier New"/>
      <w:sz w:val="20"/>
      <w:szCs w:val="20"/>
      <w:lang w:val="es-C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72697">
      <w:bodyDiv w:val="1"/>
      <w:marLeft w:val="0"/>
      <w:marRight w:val="0"/>
      <w:marTop w:val="0"/>
      <w:marBottom w:val="0"/>
      <w:divBdr>
        <w:top w:val="none" w:sz="0" w:space="0" w:color="auto"/>
        <w:left w:val="none" w:sz="0" w:space="0" w:color="auto"/>
        <w:bottom w:val="none" w:sz="0" w:space="0" w:color="auto"/>
        <w:right w:val="none" w:sz="0" w:space="0" w:color="auto"/>
      </w:divBdr>
    </w:div>
    <w:div w:id="40063040">
      <w:bodyDiv w:val="1"/>
      <w:marLeft w:val="0"/>
      <w:marRight w:val="0"/>
      <w:marTop w:val="0"/>
      <w:marBottom w:val="0"/>
      <w:divBdr>
        <w:top w:val="none" w:sz="0" w:space="0" w:color="auto"/>
        <w:left w:val="none" w:sz="0" w:space="0" w:color="auto"/>
        <w:bottom w:val="none" w:sz="0" w:space="0" w:color="auto"/>
        <w:right w:val="none" w:sz="0" w:space="0" w:color="auto"/>
      </w:divBdr>
      <w:divsChild>
        <w:div w:id="1661272919">
          <w:marLeft w:val="274"/>
          <w:marRight w:val="0"/>
          <w:marTop w:val="760"/>
          <w:marBottom w:val="0"/>
          <w:divBdr>
            <w:top w:val="none" w:sz="0" w:space="0" w:color="auto"/>
            <w:left w:val="none" w:sz="0" w:space="0" w:color="auto"/>
            <w:bottom w:val="none" w:sz="0" w:space="0" w:color="auto"/>
            <w:right w:val="none" w:sz="0" w:space="0" w:color="auto"/>
          </w:divBdr>
        </w:div>
        <w:div w:id="472915306">
          <w:marLeft w:val="274"/>
          <w:marRight w:val="0"/>
          <w:marTop w:val="760"/>
          <w:marBottom w:val="0"/>
          <w:divBdr>
            <w:top w:val="none" w:sz="0" w:space="0" w:color="auto"/>
            <w:left w:val="none" w:sz="0" w:space="0" w:color="auto"/>
            <w:bottom w:val="none" w:sz="0" w:space="0" w:color="auto"/>
            <w:right w:val="none" w:sz="0" w:space="0" w:color="auto"/>
          </w:divBdr>
        </w:div>
        <w:div w:id="1082141624">
          <w:marLeft w:val="274"/>
          <w:marRight w:val="0"/>
          <w:marTop w:val="760"/>
          <w:marBottom w:val="0"/>
          <w:divBdr>
            <w:top w:val="none" w:sz="0" w:space="0" w:color="auto"/>
            <w:left w:val="none" w:sz="0" w:space="0" w:color="auto"/>
            <w:bottom w:val="none" w:sz="0" w:space="0" w:color="auto"/>
            <w:right w:val="none" w:sz="0" w:space="0" w:color="auto"/>
          </w:divBdr>
        </w:div>
        <w:div w:id="1470051278">
          <w:marLeft w:val="274"/>
          <w:marRight w:val="0"/>
          <w:marTop w:val="760"/>
          <w:marBottom w:val="0"/>
          <w:divBdr>
            <w:top w:val="none" w:sz="0" w:space="0" w:color="auto"/>
            <w:left w:val="none" w:sz="0" w:space="0" w:color="auto"/>
            <w:bottom w:val="none" w:sz="0" w:space="0" w:color="auto"/>
            <w:right w:val="none" w:sz="0" w:space="0" w:color="auto"/>
          </w:divBdr>
        </w:div>
      </w:divsChild>
    </w:div>
    <w:div w:id="133910793">
      <w:bodyDiv w:val="1"/>
      <w:marLeft w:val="0"/>
      <w:marRight w:val="0"/>
      <w:marTop w:val="0"/>
      <w:marBottom w:val="0"/>
      <w:divBdr>
        <w:top w:val="none" w:sz="0" w:space="0" w:color="auto"/>
        <w:left w:val="none" w:sz="0" w:space="0" w:color="auto"/>
        <w:bottom w:val="none" w:sz="0" w:space="0" w:color="auto"/>
        <w:right w:val="none" w:sz="0" w:space="0" w:color="auto"/>
      </w:divBdr>
    </w:div>
    <w:div w:id="291447190">
      <w:bodyDiv w:val="1"/>
      <w:marLeft w:val="0"/>
      <w:marRight w:val="0"/>
      <w:marTop w:val="0"/>
      <w:marBottom w:val="0"/>
      <w:divBdr>
        <w:top w:val="none" w:sz="0" w:space="0" w:color="auto"/>
        <w:left w:val="none" w:sz="0" w:space="0" w:color="auto"/>
        <w:bottom w:val="none" w:sz="0" w:space="0" w:color="auto"/>
        <w:right w:val="none" w:sz="0" w:space="0" w:color="auto"/>
      </w:divBdr>
    </w:div>
    <w:div w:id="335504226">
      <w:bodyDiv w:val="1"/>
      <w:marLeft w:val="0"/>
      <w:marRight w:val="0"/>
      <w:marTop w:val="0"/>
      <w:marBottom w:val="0"/>
      <w:divBdr>
        <w:top w:val="none" w:sz="0" w:space="0" w:color="auto"/>
        <w:left w:val="none" w:sz="0" w:space="0" w:color="auto"/>
        <w:bottom w:val="none" w:sz="0" w:space="0" w:color="auto"/>
        <w:right w:val="none" w:sz="0" w:space="0" w:color="auto"/>
      </w:divBdr>
      <w:divsChild>
        <w:div w:id="371154054">
          <w:marLeft w:val="662"/>
          <w:marRight w:val="0"/>
          <w:marTop w:val="500"/>
          <w:marBottom w:val="0"/>
          <w:divBdr>
            <w:top w:val="none" w:sz="0" w:space="0" w:color="auto"/>
            <w:left w:val="none" w:sz="0" w:space="0" w:color="auto"/>
            <w:bottom w:val="none" w:sz="0" w:space="0" w:color="auto"/>
            <w:right w:val="none" w:sz="0" w:space="0" w:color="auto"/>
          </w:divBdr>
        </w:div>
      </w:divsChild>
    </w:div>
    <w:div w:id="384960196">
      <w:bodyDiv w:val="1"/>
      <w:marLeft w:val="0"/>
      <w:marRight w:val="0"/>
      <w:marTop w:val="0"/>
      <w:marBottom w:val="0"/>
      <w:divBdr>
        <w:top w:val="none" w:sz="0" w:space="0" w:color="auto"/>
        <w:left w:val="none" w:sz="0" w:space="0" w:color="auto"/>
        <w:bottom w:val="none" w:sz="0" w:space="0" w:color="auto"/>
        <w:right w:val="none" w:sz="0" w:space="0" w:color="auto"/>
      </w:divBdr>
    </w:div>
    <w:div w:id="400490526">
      <w:bodyDiv w:val="1"/>
      <w:marLeft w:val="0"/>
      <w:marRight w:val="0"/>
      <w:marTop w:val="0"/>
      <w:marBottom w:val="0"/>
      <w:divBdr>
        <w:top w:val="none" w:sz="0" w:space="0" w:color="auto"/>
        <w:left w:val="none" w:sz="0" w:space="0" w:color="auto"/>
        <w:bottom w:val="none" w:sz="0" w:space="0" w:color="auto"/>
        <w:right w:val="none" w:sz="0" w:space="0" w:color="auto"/>
      </w:divBdr>
    </w:div>
    <w:div w:id="414322199">
      <w:bodyDiv w:val="1"/>
      <w:marLeft w:val="0"/>
      <w:marRight w:val="0"/>
      <w:marTop w:val="0"/>
      <w:marBottom w:val="0"/>
      <w:divBdr>
        <w:top w:val="none" w:sz="0" w:space="0" w:color="auto"/>
        <w:left w:val="none" w:sz="0" w:space="0" w:color="auto"/>
        <w:bottom w:val="none" w:sz="0" w:space="0" w:color="auto"/>
        <w:right w:val="none" w:sz="0" w:space="0" w:color="auto"/>
      </w:divBdr>
    </w:div>
    <w:div w:id="523057233">
      <w:bodyDiv w:val="1"/>
      <w:marLeft w:val="0"/>
      <w:marRight w:val="0"/>
      <w:marTop w:val="0"/>
      <w:marBottom w:val="0"/>
      <w:divBdr>
        <w:top w:val="none" w:sz="0" w:space="0" w:color="auto"/>
        <w:left w:val="none" w:sz="0" w:space="0" w:color="auto"/>
        <w:bottom w:val="none" w:sz="0" w:space="0" w:color="auto"/>
        <w:right w:val="none" w:sz="0" w:space="0" w:color="auto"/>
      </w:divBdr>
    </w:div>
    <w:div w:id="599489526">
      <w:bodyDiv w:val="1"/>
      <w:marLeft w:val="0"/>
      <w:marRight w:val="0"/>
      <w:marTop w:val="0"/>
      <w:marBottom w:val="0"/>
      <w:divBdr>
        <w:top w:val="none" w:sz="0" w:space="0" w:color="auto"/>
        <w:left w:val="none" w:sz="0" w:space="0" w:color="auto"/>
        <w:bottom w:val="none" w:sz="0" w:space="0" w:color="auto"/>
        <w:right w:val="none" w:sz="0" w:space="0" w:color="auto"/>
      </w:divBdr>
    </w:div>
    <w:div w:id="600572466">
      <w:bodyDiv w:val="1"/>
      <w:marLeft w:val="0"/>
      <w:marRight w:val="0"/>
      <w:marTop w:val="0"/>
      <w:marBottom w:val="0"/>
      <w:divBdr>
        <w:top w:val="none" w:sz="0" w:space="0" w:color="auto"/>
        <w:left w:val="none" w:sz="0" w:space="0" w:color="auto"/>
        <w:bottom w:val="none" w:sz="0" w:space="0" w:color="auto"/>
        <w:right w:val="none" w:sz="0" w:space="0" w:color="auto"/>
      </w:divBdr>
    </w:div>
    <w:div w:id="810831640">
      <w:bodyDiv w:val="1"/>
      <w:marLeft w:val="0"/>
      <w:marRight w:val="0"/>
      <w:marTop w:val="0"/>
      <w:marBottom w:val="0"/>
      <w:divBdr>
        <w:top w:val="none" w:sz="0" w:space="0" w:color="auto"/>
        <w:left w:val="none" w:sz="0" w:space="0" w:color="auto"/>
        <w:bottom w:val="none" w:sz="0" w:space="0" w:color="auto"/>
        <w:right w:val="none" w:sz="0" w:space="0" w:color="auto"/>
      </w:divBdr>
    </w:div>
    <w:div w:id="853299958">
      <w:bodyDiv w:val="1"/>
      <w:marLeft w:val="0"/>
      <w:marRight w:val="0"/>
      <w:marTop w:val="0"/>
      <w:marBottom w:val="0"/>
      <w:divBdr>
        <w:top w:val="none" w:sz="0" w:space="0" w:color="auto"/>
        <w:left w:val="none" w:sz="0" w:space="0" w:color="auto"/>
        <w:bottom w:val="none" w:sz="0" w:space="0" w:color="auto"/>
        <w:right w:val="none" w:sz="0" w:space="0" w:color="auto"/>
      </w:divBdr>
    </w:div>
    <w:div w:id="883950858">
      <w:bodyDiv w:val="1"/>
      <w:marLeft w:val="0"/>
      <w:marRight w:val="0"/>
      <w:marTop w:val="0"/>
      <w:marBottom w:val="0"/>
      <w:divBdr>
        <w:top w:val="none" w:sz="0" w:space="0" w:color="auto"/>
        <w:left w:val="none" w:sz="0" w:space="0" w:color="auto"/>
        <w:bottom w:val="none" w:sz="0" w:space="0" w:color="auto"/>
        <w:right w:val="none" w:sz="0" w:space="0" w:color="auto"/>
      </w:divBdr>
    </w:div>
    <w:div w:id="933434900">
      <w:bodyDiv w:val="1"/>
      <w:marLeft w:val="0"/>
      <w:marRight w:val="0"/>
      <w:marTop w:val="0"/>
      <w:marBottom w:val="0"/>
      <w:divBdr>
        <w:top w:val="none" w:sz="0" w:space="0" w:color="auto"/>
        <w:left w:val="none" w:sz="0" w:space="0" w:color="auto"/>
        <w:bottom w:val="none" w:sz="0" w:space="0" w:color="auto"/>
        <w:right w:val="none" w:sz="0" w:space="0" w:color="auto"/>
      </w:divBdr>
    </w:div>
    <w:div w:id="933780772">
      <w:bodyDiv w:val="1"/>
      <w:marLeft w:val="0"/>
      <w:marRight w:val="0"/>
      <w:marTop w:val="0"/>
      <w:marBottom w:val="0"/>
      <w:divBdr>
        <w:top w:val="none" w:sz="0" w:space="0" w:color="auto"/>
        <w:left w:val="none" w:sz="0" w:space="0" w:color="auto"/>
        <w:bottom w:val="none" w:sz="0" w:space="0" w:color="auto"/>
        <w:right w:val="none" w:sz="0" w:space="0" w:color="auto"/>
      </w:divBdr>
    </w:div>
    <w:div w:id="942610993">
      <w:bodyDiv w:val="1"/>
      <w:marLeft w:val="0"/>
      <w:marRight w:val="0"/>
      <w:marTop w:val="0"/>
      <w:marBottom w:val="0"/>
      <w:divBdr>
        <w:top w:val="none" w:sz="0" w:space="0" w:color="auto"/>
        <w:left w:val="none" w:sz="0" w:space="0" w:color="auto"/>
        <w:bottom w:val="none" w:sz="0" w:space="0" w:color="auto"/>
        <w:right w:val="none" w:sz="0" w:space="0" w:color="auto"/>
      </w:divBdr>
    </w:div>
    <w:div w:id="1028213160">
      <w:bodyDiv w:val="1"/>
      <w:marLeft w:val="0"/>
      <w:marRight w:val="0"/>
      <w:marTop w:val="0"/>
      <w:marBottom w:val="0"/>
      <w:divBdr>
        <w:top w:val="none" w:sz="0" w:space="0" w:color="auto"/>
        <w:left w:val="none" w:sz="0" w:space="0" w:color="auto"/>
        <w:bottom w:val="none" w:sz="0" w:space="0" w:color="auto"/>
        <w:right w:val="none" w:sz="0" w:space="0" w:color="auto"/>
      </w:divBdr>
    </w:div>
    <w:div w:id="1065959018">
      <w:bodyDiv w:val="1"/>
      <w:marLeft w:val="0"/>
      <w:marRight w:val="0"/>
      <w:marTop w:val="0"/>
      <w:marBottom w:val="0"/>
      <w:divBdr>
        <w:top w:val="none" w:sz="0" w:space="0" w:color="auto"/>
        <w:left w:val="none" w:sz="0" w:space="0" w:color="auto"/>
        <w:bottom w:val="none" w:sz="0" w:space="0" w:color="auto"/>
        <w:right w:val="none" w:sz="0" w:space="0" w:color="auto"/>
      </w:divBdr>
    </w:div>
    <w:div w:id="1120027555">
      <w:bodyDiv w:val="1"/>
      <w:marLeft w:val="0"/>
      <w:marRight w:val="0"/>
      <w:marTop w:val="0"/>
      <w:marBottom w:val="0"/>
      <w:divBdr>
        <w:top w:val="none" w:sz="0" w:space="0" w:color="auto"/>
        <w:left w:val="none" w:sz="0" w:space="0" w:color="auto"/>
        <w:bottom w:val="none" w:sz="0" w:space="0" w:color="auto"/>
        <w:right w:val="none" w:sz="0" w:space="0" w:color="auto"/>
      </w:divBdr>
    </w:div>
    <w:div w:id="1149400314">
      <w:bodyDiv w:val="1"/>
      <w:marLeft w:val="0"/>
      <w:marRight w:val="0"/>
      <w:marTop w:val="0"/>
      <w:marBottom w:val="0"/>
      <w:divBdr>
        <w:top w:val="none" w:sz="0" w:space="0" w:color="auto"/>
        <w:left w:val="none" w:sz="0" w:space="0" w:color="auto"/>
        <w:bottom w:val="none" w:sz="0" w:space="0" w:color="auto"/>
        <w:right w:val="none" w:sz="0" w:space="0" w:color="auto"/>
      </w:divBdr>
      <w:divsChild>
        <w:div w:id="2048482736">
          <w:marLeft w:val="662"/>
          <w:marRight w:val="0"/>
          <w:marTop w:val="500"/>
          <w:marBottom w:val="0"/>
          <w:divBdr>
            <w:top w:val="none" w:sz="0" w:space="0" w:color="auto"/>
            <w:left w:val="none" w:sz="0" w:space="0" w:color="auto"/>
            <w:bottom w:val="none" w:sz="0" w:space="0" w:color="auto"/>
            <w:right w:val="none" w:sz="0" w:space="0" w:color="auto"/>
          </w:divBdr>
        </w:div>
      </w:divsChild>
    </w:div>
    <w:div w:id="1251543351">
      <w:bodyDiv w:val="1"/>
      <w:marLeft w:val="0"/>
      <w:marRight w:val="0"/>
      <w:marTop w:val="0"/>
      <w:marBottom w:val="0"/>
      <w:divBdr>
        <w:top w:val="none" w:sz="0" w:space="0" w:color="auto"/>
        <w:left w:val="none" w:sz="0" w:space="0" w:color="auto"/>
        <w:bottom w:val="none" w:sz="0" w:space="0" w:color="auto"/>
        <w:right w:val="none" w:sz="0" w:space="0" w:color="auto"/>
      </w:divBdr>
    </w:div>
    <w:div w:id="1336688887">
      <w:bodyDiv w:val="1"/>
      <w:marLeft w:val="0"/>
      <w:marRight w:val="0"/>
      <w:marTop w:val="0"/>
      <w:marBottom w:val="0"/>
      <w:divBdr>
        <w:top w:val="none" w:sz="0" w:space="0" w:color="auto"/>
        <w:left w:val="none" w:sz="0" w:space="0" w:color="auto"/>
        <w:bottom w:val="none" w:sz="0" w:space="0" w:color="auto"/>
        <w:right w:val="none" w:sz="0" w:space="0" w:color="auto"/>
      </w:divBdr>
    </w:div>
    <w:div w:id="1380321825">
      <w:bodyDiv w:val="1"/>
      <w:marLeft w:val="0"/>
      <w:marRight w:val="0"/>
      <w:marTop w:val="0"/>
      <w:marBottom w:val="0"/>
      <w:divBdr>
        <w:top w:val="none" w:sz="0" w:space="0" w:color="auto"/>
        <w:left w:val="none" w:sz="0" w:space="0" w:color="auto"/>
        <w:bottom w:val="none" w:sz="0" w:space="0" w:color="auto"/>
        <w:right w:val="none" w:sz="0" w:space="0" w:color="auto"/>
      </w:divBdr>
    </w:div>
    <w:div w:id="1398019396">
      <w:bodyDiv w:val="1"/>
      <w:marLeft w:val="0"/>
      <w:marRight w:val="0"/>
      <w:marTop w:val="0"/>
      <w:marBottom w:val="0"/>
      <w:divBdr>
        <w:top w:val="none" w:sz="0" w:space="0" w:color="auto"/>
        <w:left w:val="none" w:sz="0" w:space="0" w:color="auto"/>
        <w:bottom w:val="none" w:sz="0" w:space="0" w:color="auto"/>
        <w:right w:val="none" w:sz="0" w:space="0" w:color="auto"/>
      </w:divBdr>
    </w:div>
    <w:div w:id="1448818749">
      <w:bodyDiv w:val="1"/>
      <w:marLeft w:val="0"/>
      <w:marRight w:val="0"/>
      <w:marTop w:val="0"/>
      <w:marBottom w:val="0"/>
      <w:divBdr>
        <w:top w:val="none" w:sz="0" w:space="0" w:color="auto"/>
        <w:left w:val="none" w:sz="0" w:space="0" w:color="auto"/>
        <w:bottom w:val="none" w:sz="0" w:space="0" w:color="auto"/>
        <w:right w:val="none" w:sz="0" w:space="0" w:color="auto"/>
      </w:divBdr>
    </w:div>
    <w:div w:id="1455178582">
      <w:bodyDiv w:val="1"/>
      <w:marLeft w:val="0"/>
      <w:marRight w:val="0"/>
      <w:marTop w:val="0"/>
      <w:marBottom w:val="0"/>
      <w:divBdr>
        <w:top w:val="none" w:sz="0" w:space="0" w:color="auto"/>
        <w:left w:val="none" w:sz="0" w:space="0" w:color="auto"/>
        <w:bottom w:val="none" w:sz="0" w:space="0" w:color="auto"/>
        <w:right w:val="none" w:sz="0" w:space="0" w:color="auto"/>
      </w:divBdr>
      <w:divsChild>
        <w:div w:id="494955813">
          <w:marLeft w:val="662"/>
          <w:marRight w:val="0"/>
          <w:marTop w:val="500"/>
          <w:marBottom w:val="0"/>
          <w:divBdr>
            <w:top w:val="none" w:sz="0" w:space="0" w:color="auto"/>
            <w:left w:val="none" w:sz="0" w:space="0" w:color="auto"/>
            <w:bottom w:val="none" w:sz="0" w:space="0" w:color="auto"/>
            <w:right w:val="none" w:sz="0" w:space="0" w:color="auto"/>
          </w:divBdr>
        </w:div>
      </w:divsChild>
    </w:div>
    <w:div w:id="1575628110">
      <w:bodyDiv w:val="1"/>
      <w:marLeft w:val="0"/>
      <w:marRight w:val="0"/>
      <w:marTop w:val="0"/>
      <w:marBottom w:val="0"/>
      <w:divBdr>
        <w:top w:val="none" w:sz="0" w:space="0" w:color="auto"/>
        <w:left w:val="none" w:sz="0" w:space="0" w:color="auto"/>
        <w:bottom w:val="none" w:sz="0" w:space="0" w:color="auto"/>
        <w:right w:val="none" w:sz="0" w:space="0" w:color="auto"/>
      </w:divBdr>
      <w:divsChild>
        <w:div w:id="1371144894">
          <w:marLeft w:val="662"/>
          <w:marRight w:val="0"/>
          <w:marTop w:val="500"/>
          <w:marBottom w:val="0"/>
          <w:divBdr>
            <w:top w:val="none" w:sz="0" w:space="0" w:color="auto"/>
            <w:left w:val="none" w:sz="0" w:space="0" w:color="auto"/>
            <w:bottom w:val="none" w:sz="0" w:space="0" w:color="auto"/>
            <w:right w:val="none" w:sz="0" w:space="0" w:color="auto"/>
          </w:divBdr>
        </w:div>
        <w:div w:id="103769701">
          <w:marLeft w:val="1483"/>
          <w:marRight w:val="0"/>
          <w:marTop w:val="500"/>
          <w:marBottom w:val="0"/>
          <w:divBdr>
            <w:top w:val="none" w:sz="0" w:space="0" w:color="auto"/>
            <w:left w:val="none" w:sz="0" w:space="0" w:color="auto"/>
            <w:bottom w:val="none" w:sz="0" w:space="0" w:color="auto"/>
            <w:right w:val="none" w:sz="0" w:space="0" w:color="auto"/>
          </w:divBdr>
        </w:div>
        <w:div w:id="112528070">
          <w:marLeft w:val="1483"/>
          <w:marRight w:val="0"/>
          <w:marTop w:val="500"/>
          <w:marBottom w:val="0"/>
          <w:divBdr>
            <w:top w:val="none" w:sz="0" w:space="0" w:color="auto"/>
            <w:left w:val="none" w:sz="0" w:space="0" w:color="auto"/>
            <w:bottom w:val="none" w:sz="0" w:space="0" w:color="auto"/>
            <w:right w:val="none" w:sz="0" w:space="0" w:color="auto"/>
          </w:divBdr>
        </w:div>
        <w:div w:id="870260666">
          <w:marLeft w:val="1483"/>
          <w:marRight w:val="0"/>
          <w:marTop w:val="500"/>
          <w:marBottom w:val="0"/>
          <w:divBdr>
            <w:top w:val="none" w:sz="0" w:space="0" w:color="auto"/>
            <w:left w:val="none" w:sz="0" w:space="0" w:color="auto"/>
            <w:bottom w:val="none" w:sz="0" w:space="0" w:color="auto"/>
            <w:right w:val="none" w:sz="0" w:space="0" w:color="auto"/>
          </w:divBdr>
        </w:div>
        <w:div w:id="548422847">
          <w:marLeft w:val="1483"/>
          <w:marRight w:val="0"/>
          <w:marTop w:val="500"/>
          <w:marBottom w:val="0"/>
          <w:divBdr>
            <w:top w:val="none" w:sz="0" w:space="0" w:color="auto"/>
            <w:left w:val="none" w:sz="0" w:space="0" w:color="auto"/>
            <w:bottom w:val="none" w:sz="0" w:space="0" w:color="auto"/>
            <w:right w:val="none" w:sz="0" w:space="0" w:color="auto"/>
          </w:divBdr>
        </w:div>
      </w:divsChild>
    </w:div>
    <w:div w:id="1596942072">
      <w:bodyDiv w:val="1"/>
      <w:marLeft w:val="0"/>
      <w:marRight w:val="0"/>
      <w:marTop w:val="0"/>
      <w:marBottom w:val="0"/>
      <w:divBdr>
        <w:top w:val="none" w:sz="0" w:space="0" w:color="auto"/>
        <w:left w:val="none" w:sz="0" w:space="0" w:color="auto"/>
        <w:bottom w:val="none" w:sz="0" w:space="0" w:color="auto"/>
        <w:right w:val="none" w:sz="0" w:space="0" w:color="auto"/>
      </w:divBdr>
    </w:div>
    <w:div w:id="1611862703">
      <w:bodyDiv w:val="1"/>
      <w:marLeft w:val="0"/>
      <w:marRight w:val="0"/>
      <w:marTop w:val="0"/>
      <w:marBottom w:val="0"/>
      <w:divBdr>
        <w:top w:val="none" w:sz="0" w:space="0" w:color="auto"/>
        <w:left w:val="none" w:sz="0" w:space="0" w:color="auto"/>
        <w:bottom w:val="none" w:sz="0" w:space="0" w:color="auto"/>
        <w:right w:val="none" w:sz="0" w:space="0" w:color="auto"/>
      </w:divBdr>
    </w:div>
    <w:div w:id="1613978969">
      <w:bodyDiv w:val="1"/>
      <w:marLeft w:val="0"/>
      <w:marRight w:val="0"/>
      <w:marTop w:val="0"/>
      <w:marBottom w:val="0"/>
      <w:divBdr>
        <w:top w:val="none" w:sz="0" w:space="0" w:color="auto"/>
        <w:left w:val="none" w:sz="0" w:space="0" w:color="auto"/>
        <w:bottom w:val="none" w:sz="0" w:space="0" w:color="auto"/>
        <w:right w:val="none" w:sz="0" w:space="0" w:color="auto"/>
      </w:divBdr>
    </w:div>
    <w:div w:id="1652176829">
      <w:bodyDiv w:val="1"/>
      <w:marLeft w:val="0"/>
      <w:marRight w:val="0"/>
      <w:marTop w:val="0"/>
      <w:marBottom w:val="0"/>
      <w:divBdr>
        <w:top w:val="none" w:sz="0" w:space="0" w:color="auto"/>
        <w:left w:val="none" w:sz="0" w:space="0" w:color="auto"/>
        <w:bottom w:val="none" w:sz="0" w:space="0" w:color="auto"/>
        <w:right w:val="none" w:sz="0" w:space="0" w:color="auto"/>
      </w:divBdr>
      <w:divsChild>
        <w:div w:id="846015614">
          <w:marLeft w:val="0"/>
          <w:marRight w:val="0"/>
          <w:marTop w:val="0"/>
          <w:marBottom w:val="0"/>
          <w:divBdr>
            <w:top w:val="none" w:sz="0" w:space="0" w:color="auto"/>
            <w:left w:val="none" w:sz="0" w:space="0" w:color="auto"/>
            <w:bottom w:val="none" w:sz="0" w:space="0" w:color="auto"/>
            <w:right w:val="none" w:sz="0" w:space="0" w:color="auto"/>
          </w:divBdr>
          <w:divsChild>
            <w:div w:id="396825022">
              <w:marLeft w:val="0"/>
              <w:marRight w:val="0"/>
              <w:marTop w:val="0"/>
              <w:marBottom w:val="0"/>
              <w:divBdr>
                <w:top w:val="none" w:sz="0" w:space="0" w:color="auto"/>
                <w:left w:val="none" w:sz="0" w:space="0" w:color="auto"/>
                <w:bottom w:val="none" w:sz="0" w:space="0" w:color="auto"/>
                <w:right w:val="none" w:sz="0" w:space="0" w:color="auto"/>
              </w:divBdr>
              <w:divsChild>
                <w:div w:id="706755445">
                  <w:marLeft w:val="-240"/>
                  <w:marRight w:val="-240"/>
                  <w:marTop w:val="0"/>
                  <w:marBottom w:val="0"/>
                  <w:divBdr>
                    <w:top w:val="none" w:sz="0" w:space="0" w:color="auto"/>
                    <w:left w:val="none" w:sz="0" w:space="0" w:color="auto"/>
                    <w:bottom w:val="none" w:sz="0" w:space="0" w:color="auto"/>
                    <w:right w:val="none" w:sz="0" w:space="0" w:color="auto"/>
                  </w:divBdr>
                  <w:divsChild>
                    <w:div w:id="51723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815340">
      <w:bodyDiv w:val="1"/>
      <w:marLeft w:val="0"/>
      <w:marRight w:val="0"/>
      <w:marTop w:val="0"/>
      <w:marBottom w:val="0"/>
      <w:divBdr>
        <w:top w:val="none" w:sz="0" w:space="0" w:color="auto"/>
        <w:left w:val="none" w:sz="0" w:space="0" w:color="auto"/>
        <w:bottom w:val="none" w:sz="0" w:space="0" w:color="auto"/>
        <w:right w:val="none" w:sz="0" w:space="0" w:color="auto"/>
      </w:divBdr>
    </w:div>
    <w:div w:id="1790657322">
      <w:bodyDiv w:val="1"/>
      <w:marLeft w:val="0"/>
      <w:marRight w:val="0"/>
      <w:marTop w:val="0"/>
      <w:marBottom w:val="0"/>
      <w:divBdr>
        <w:top w:val="none" w:sz="0" w:space="0" w:color="auto"/>
        <w:left w:val="none" w:sz="0" w:space="0" w:color="auto"/>
        <w:bottom w:val="none" w:sz="0" w:space="0" w:color="auto"/>
        <w:right w:val="none" w:sz="0" w:space="0" w:color="auto"/>
      </w:divBdr>
      <w:divsChild>
        <w:div w:id="2127041620">
          <w:marLeft w:val="662"/>
          <w:marRight w:val="0"/>
          <w:marTop w:val="500"/>
          <w:marBottom w:val="0"/>
          <w:divBdr>
            <w:top w:val="none" w:sz="0" w:space="0" w:color="auto"/>
            <w:left w:val="none" w:sz="0" w:space="0" w:color="auto"/>
            <w:bottom w:val="none" w:sz="0" w:space="0" w:color="auto"/>
            <w:right w:val="none" w:sz="0" w:space="0" w:color="auto"/>
          </w:divBdr>
        </w:div>
      </w:divsChild>
    </w:div>
    <w:div w:id="1792704000">
      <w:bodyDiv w:val="1"/>
      <w:marLeft w:val="0"/>
      <w:marRight w:val="0"/>
      <w:marTop w:val="0"/>
      <w:marBottom w:val="0"/>
      <w:divBdr>
        <w:top w:val="none" w:sz="0" w:space="0" w:color="auto"/>
        <w:left w:val="none" w:sz="0" w:space="0" w:color="auto"/>
        <w:bottom w:val="none" w:sz="0" w:space="0" w:color="auto"/>
        <w:right w:val="none" w:sz="0" w:space="0" w:color="auto"/>
      </w:divBdr>
    </w:div>
    <w:div w:id="1797790868">
      <w:bodyDiv w:val="1"/>
      <w:marLeft w:val="0"/>
      <w:marRight w:val="0"/>
      <w:marTop w:val="0"/>
      <w:marBottom w:val="0"/>
      <w:divBdr>
        <w:top w:val="none" w:sz="0" w:space="0" w:color="auto"/>
        <w:left w:val="none" w:sz="0" w:space="0" w:color="auto"/>
        <w:bottom w:val="none" w:sz="0" w:space="0" w:color="auto"/>
        <w:right w:val="none" w:sz="0" w:space="0" w:color="auto"/>
      </w:divBdr>
    </w:div>
    <w:div w:id="1819572056">
      <w:bodyDiv w:val="1"/>
      <w:marLeft w:val="0"/>
      <w:marRight w:val="0"/>
      <w:marTop w:val="0"/>
      <w:marBottom w:val="0"/>
      <w:divBdr>
        <w:top w:val="none" w:sz="0" w:space="0" w:color="auto"/>
        <w:left w:val="none" w:sz="0" w:space="0" w:color="auto"/>
        <w:bottom w:val="none" w:sz="0" w:space="0" w:color="auto"/>
        <w:right w:val="none" w:sz="0" w:space="0" w:color="auto"/>
      </w:divBdr>
    </w:div>
    <w:div w:id="1852180288">
      <w:bodyDiv w:val="1"/>
      <w:marLeft w:val="0"/>
      <w:marRight w:val="0"/>
      <w:marTop w:val="0"/>
      <w:marBottom w:val="0"/>
      <w:divBdr>
        <w:top w:val="none" w:sz="0" w:space="0" w:color="auto"/>
        <w:left w:val="none" w:sz="0" w:space="0" w:color="auto"/>
        <w:bottom w:val="none" w:sz="0" w:space="0" w:color="auto"/>
        <w:right w:val="none" w:sz="0" w:space="0" w:color="auto"/>
      </w:divBdr>
    </w:div>
    <w:div w:id="1893350879">
      <w:bodyDiv w:val="1"/>
      <w:marLeft w:val="0"/>
      <w:marRight w:val="0"/>
      <w:marTop w:val="0"/>
      <w:marBottom w:val="0"/>
      <w:divBdr>
        <w:top w:val="none" w:sz="0" w:space="0" w:color="auto"/>
        <w:left w:val="none" w:sz="0" w:space="0" w:color="auto"/>
        <w:bottom w:val="none" w:sz="0" w:space="0" w:color="auto"/>
        <w:right w:val="none" w:sz="0" w:space="0" w:color="auto"/>
      </w:divBdr>
    </w:div>
    <w:div w:id="1926525720">
      <w:bodyDiv w:val="1"/>
      <w:marLeft w:val="0"/>
      <w:marRight w:val="0"/>
      <w:marTop w:val="0"/>
      <w:marBottom w:val="0"/>
      <w:divBdr>
        <w:top w:val="none" w:sz="0" w:space="0" w:color="auto"/>
        <w:left w:val="none" w:sz="0" w:space="0" w:color="auto"/>
        <w:bottom w:val="none" w:sz="0" w:space="0" w:color="auto"/>
        <w:right w:val="none" w:sz="0" w:space="0" w:color="auto"/>
      </w:divBdr>
      <w:divsChild>
        <w:div w:id="1299260197">
          <w:marLeft w:val="274"/>
          <w:marRight w:val="0"/>
          <w:marTop w:val="760"/>
          <w:marBottom w:val="0"/>
          <w:divBdr>
            <w:top w:val="none" w:sz="0" w:space="0" w:color="auto"/>
            <w:left w:val="none" w:sz="0" w:space="0" w:color="auto"/>
            <w:bottom w:val="none" w:sz="0" w:space="0" w:color="auto"/>
            <w:right w:val="none" w:sz="0" w:space="0" w:color="auto"/>
          </w:divBdr>
        </w:div>
        <w:div w:id="2049724205">
          <w:marLeft w:val="274"/>
          <w:marRight w:val="0"/>
          <w:marTop w:val="760"/>
          <w:marBottom w:val="0"/>
          <w:divBdr>
            <w:top w:val="none" w:sz="0" w:space="0" w:color="auto"/>
            <w:left w:val="none" w:sz="0" w:space="0" w:color="auto"/>
            <w:bottom w:val="none" w:sz="0" w:space="0" w:color="auto"/>
            <w:right w:val="none" w:sz="0" w:space="0" w:color="auto"/>
          </w:divBdr>
        </w:div>
        <w:div w:id="658265521">
          <w:marLeft w:val="274"/>
          <w:marRight w:val="0"/>
          <w:marTop w:val="760"/>
          <w:marBottom w:val="0"/>
          <w:divBdr>
            <w:top w:val="none" w:sz="0" w:space="0" w:color="auto"/>
            <w:left w:val="none" w:sz="0" w:space="0" w:color="auto"/>
            <w:bottom w:val="none" w:sz="0" w:space="0" w:color="auto"/>
            <w:right w:val="none" w:sz="0" w:space="0" w:color="auto"/>
          </w:divBdr>
        </w:div>
        <w:div w:id="1626235006">
          <w:marLeft w:val="274"/>
          <w:marRight w:val="0"/>
          <w:marTop w:val="760"/>
          <w:marBottom w:val="0"/>
          <w:divBdr>
            <w:top w:val="none" w:sz="0" w:space="0" w:color="auto"/>
            <w:left w:val="none" w:sz="0" w:space="0" w:color="auto"/>
            <w:bottom w:val="none" w:sz="0" w:space="0" w:color="auto"/>
            <w:right w:val="none" w:sz="0" w:space="0" w:color="auto"/>
          </w:divBdr>
        </w:div>
      </w:divsChild>
    </w:div>
    <w:div w:id="1947034726">
      <w:bodyDiv w:val="1"/>
      <w:marLeft w:val="0"/>
      <w:marRight w:val="0"/>
      <w:marTop w:val="0"/>
      <w:marBottom w:val="0"/>
      <w:divBdr>
        <w:top w:val="none" w:sz="0" w:space="0" w:color="auto"/>
        <w:left w:val="none" w:sz="0" w:space="0" w:color="auto"/>
        <w:bottom w:val="none" w:sz="0" w:space="0" w:color="auto"/>
        <w:right w:val="none" w:sz="0" w:space="0" w:color="auto"/>
      </w:divBdr>
    </w:div>
    <w:div w:id="2085641400">
      <w:bodyDiv w:val="1"/>
      <w:marLeft w:val="0"/>
      <w:marRight w:val="0"/>
      <w:marTop w:val="0"/>
      <w:marBottom w:val="0"/>
      <w:divBdr>
        <w:top w:val="none" w:sz="0" w:space="0" w:color="auto"/>
        <w:left w:val="none" w:sz="0" w:space="0" w:color="auto"/>
        <w:bottom w:val="none" w:sz="0" w:space="0" w:color="auto"/>
        <w:right w:val="none" w:sz="0" w:space="0" w:color="auto"/>
      </w:divBdr>
    </w:div>
    <w:div w:id="2087260481">
      <w:bodyDiv w:val="1"/>
      <w:marLeft w:val="0"/>
      <w:marRight w:val="0"/>
      <w:marTop w:val="0"/>
      <w:marBottom w:val="0"/>
      <w:divBdr>
        <w:top w:val="none" w:sz="0" w:space="0" w:color="auto"/>
        <w:left w:val="none" w:sz="0" w:space="0" w:color="auto"/>
        <w:bottom w:val="none" w:sz="0" w:space="0" w:color="auto"/>
        <w:right w:val="none" w:sz="0" w:space="0" w:color="auto"/>
      </w:divBdr>
    </w:div>
    <w:div w:id="2141456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s://translate.google.com/translate?hl=es&amp;prev=_t&amp;sl=en&amp;tl=es&amp;u=https://www.meioemensagem.com.br/home/comunicacao/2019/05/21/mercado-de-relacoes-publicas-cresce-5-em-2018.html" TargetMode="External"/><Relationship Id="rId10" Type="http://schemas.openxmlformats.org/officeDocument/2006/relationships/hyperlink" Target="https://translate.google.com/translate?hl=es&amp;prev=_t&amp;sl=en&amp;tl=es&amp;u=http://merco.info/es/ranking-merco-empresas%3Fedicion%3D2019"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5EA0C-2360-A143-8F65-76CFAD5C3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3100</Words>
  <Characters>17676</Characters>
  <Application>Microsoft Macintosh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Iglesias</dc:creator>
  <cp:lastModifiedBy>Diego Olavarria</cp:lastModifiedBy>
  <cp:revision>3</cp:revision>
  <cp:lastPrinted>2014-03-13T16:04:00Z</cp:lastPrinted>
  <dcterms:created xsi:type="dcterms:W3CDTF">2019-05-31T12:54:00Z</dcterms:created>
  <dcterms:modified xsi:type="dcterms:W3CDTF">2019-05-31T12:55:00Z</dcterms:modified>
</cp:coreProperties>
</file>