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09D" w:rsidRPr="00DF6D5E" w:rsidRDefault="00DF6D5E" w:rsidP="00DF6D5E">
      <w:pPr>
        <w:jc w:val="center"/>
        <w:rPr>
          <w:b/>
          <w:sz w:val="32"/>
          <w:lang w:val="en-US"/>
        </w:rPr>
      </w:pPr>
      <w:r w:rsidRPr="00DF6D5E">
        <w:rPr>
          <w:b/>
          <w:sz w:val="32"/>
          <w:lang w:val="en-US"/>
        </w:rPr>
        <w:t>BUSINESS CASE</w:t>
      </w:r>
    </w:p>
    <w:p w:rsidR="00DF6D5E" w:rsidRPr="00DF6D5E" w:rsidRDefault="009412B7" w:rsidP="00DF6D5E">
      <w:pPr>
        <w:jc w:val="center"/>
        <w:rPr>
          <w:rFonts w:ascii="Arial" w:hAnsi="Arial" w:cs="Arial"/>
          <w:b/>
          <w:lang w:val="es-ES"/>
        </w:rPr>
      </w:pPr>
      <w:r>
        <w:rPr>
          <w:b/>
          <w:sz w:val="32"/>
          <w:lang w:val="es-ES"/>
        </w:rPr>
        <w:t>Análisis Sectorial</w:t>
      </w:r>
    </w:p>
    <w:p w:rsidR="003A54E0" w:rsidRDefault="003A54E0" w:rsidP="001526E5">
      <w:pPr>
        <w:jc w:val="both"/>
        <w:rPr>
          <w:rFonts w:ascii="Arial" w:hAnsi="Arial" w:cs="Arial"/>
          <w:b/>
          <w:lang w:val="es-ES"/>
        </w:rPr>
      </w:pPr>
    </w:p>
    <w:p w:rsidR="001526E5" w:rsidRPr="001526E5" w:rsidRDefault="00DF6D5E" w:rsidP="001526E5">
      <w:pPr>
        <w:jc w:val="both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Introducción</w:t>
      </w:r>
    </w:p>
    <w:p w:rsidR="00B12CE2" w:rsidRPr="00F475DC" w:rsidRDefault="009412B7" w:rsidP="00B12CE2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Antes de formular nuevas estrategias toda empresa debe conocer el entorno general y el entorno específico en el que se mueve para poder identificar las grandes Oportunidades y Amenazas. En este caso nos vamos a central en el análisis del entorno específ</w:t>
      </w:r>
      <w:r w:rsidR="00F475DC">
        <w:rPr>
          <w:rFonts w:ascii="Arial" w:hAnsi="Arial" w:cs="Arial"/>
          <w:lang w:val="es-ES"/>
        </w:rPr>
        <w:t>ico, o si se prefiere sectorial.</w:t>
      </w:r>
    </w:p>
    <w:p w:rsidR="00B12CE2" w:rsidRPr="001526E5" w:rsidRDefault="00B12CE2" w:rsidP="00B12CE2">
      <w:pPr>
        <w:jc w:val="both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Planteamiento del </w:t>
      </w:r>
      <w:r w:rsidR="00CE0C60">
        <w:rPr>
          <w:rFonts w:ascii="Arial" w:hAnsi="Arial" w:cs="Arial"/>
          <w:b/>
          <w:lang w:val="es-ES"/>
        </w:rPr>
        <w:t>C</w:t>
      </w:r>
      <w:r>
        <w:rPr>
          <w:rFonts w:ascii="Arial" w:hAnsi="Arial" w:cs="Arial"/>
          <w:b/>
          <w:lang w:val="es-ES"/>
        </w:rPr>
        <w:t xml:space="preserve">aso: </w:t>
      </w:r>
      <w:r w:rsidR="009412B7">
        <w:rPr>
          <w:rFonts w:ascii="Arial" w:hAnsi="Arial" w:cs="Arial"/>
          <w:b/>
          <w:lang w:val="es-ES"/>
        </w:rPr>
        <w:t>Análisis Sectorial</w:t>
      </w:r>
    </w:p>
    <w:p w:rsidR="00B12CE2" w:rsidRPr="00B12CE2" w:rsidRDefault="00F475DC" w:rsidP="00B12CE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En este caso</w:t>
      </w:r>
      <w:r w:rsidR="009412B7">
        <w:rPr>
          <w:rFonts w:ascii="Arial" w:hAnsi="Arial" w:cs="Arial"/>
        </w:rPr>
        <w:t xml:space="preserve"> los </w:t>
      </w:r>
      <w:r>
        <w:rPr>
          <w:rFonts w:ascii="Arial" w:hAnsi="Arial" w:cs="Arial"/>
        </w:rPr>
        <w:t>participantes</w:t>
      </w:r>
      <w:r w:rsidR="009412B7">
        <w:rPr>
          <w:rFonts w:ascii="Arial" w:hAnsi="Arial" w:cs="Arial"/>
        </w:rPr>
        <w:t xml:space="preserve"> deben preparar un análisis sectorial relativamente profundo</w:t>
      </w:r>
      <w:r w:rsidR="00737B5F">
        <w:rPr>
          <w:rFonts w:ascii="Arial" w:hAnsi="Arial" w:cs="Arial"/>
        </w:rPr>
        <w:t xml:space="preserve"> e identificar claramente las grandes Oportunidades y Amenazas de</w:t>
      </w:r>
      <w:r>
        <w:rPr>
          <w:rFonts w:ascii="Arial" w:hAnsi="Arial" w:cs="Arial"/>
        </w:rPr>
        <w:t>l sector</w:t>
      </w:r>
      <w:r w:rsidR="009412B7">
        <w:rPr>
          <w:rFonts w:ascii="Arial" w:hAnsi="Arial" w:cs="Arial"/>
        </w:rPr>
        <w:t>. Para llevarlo a cabo partirán del Modelo de las 5 fuerzas de Porter y</w:t>
      </w:r>
      <w:r w:rsidR="00737B5F">
        <w:rPr>
          <w:rFonts w:ascii="Arial" w:hAnsi="Arial" w:cs="Arial"/>
        </w:rPr>
        <w:t xml:space="preserve"> sus </w:t>
      </w:r>
      <w:r w:rsidR="00895C91">
        <w:rPr>
          <w:rFonts w:ascii="Arial" w:hAnsi="Arial" w:cs="Arial"/>
        </w:rPr>
        <w:t>posteriores ampliaciones</w:t>
      </w:r>
      <w:r w:rsidR="00737B5F">
        <w:rPr>
          <w:rFonts w:ascii="Arial" w:hAnsi="Arial" w:cs="Arial"/>
        </w:rPr>
        <w:t>.</w:t>
      </w:r>
    </w:p>
    <w:p w:rsidR="00B12CE2" w:rsidRPr="00B12CE2" w:rsidRDefault="00737B5F" w:rsidP="00B12CE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El modelo de las 5 fuerzas original plantea analizar</w:t>
      </w:r>
      <w:r w:rsidR="00F475DC">
        <w:rPr>
          <w:rFonts w:ascii="Arial" w:hAnsi="Arial" w:cs="Arial"/>
        </w:rPr>
        <w:t xml:space="preserve"> los siguientes factores</w:t>
      </w:r>
      <w:r>
        <w:rPr>
          <w:rFonts w:ascii="Arial" w:hAnsi="Arial" w:cs="Arial"/>
        </w:rPr>
        <w:t>:</w:t>
      </w:r>
    </w:p>
    <w:p w:rsidR="00737B5F" w:rsidRDefault="00737B5F" w:rsidP="00B12CE2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La intensidad de la competencia</w:t>
      </w:r>
      <w:r w:rsidR="001D7F01">
        <w:rPr>
          <w:rFonts w:ascii="Arial" w:hAnsi="Arial" w:cs="Arial"/>
          <w:lang w:val="es-ES"/>
        </w:rPr>
        <w:t>.</w:t>
      </w:r>
    </w:p>
    <w:p w:rsidR="00737B5F" w:rsidRDefault="00737B5F" w:rsidP="00B12CE2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Los competidores potenciales (barreras de entrada)</w:t>
      </w:r>
    </w:p>
    <w:p w:rsidR="00B12CE2" w:rsidRPr="00B12CE2" w:rsidRDefault="00737B5F" w:rsidP="00B12CE2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Los productos/servicios sustitutivos</w:t>
      </w:r>
      <w:r w:rsidR="001D7F01">
        <w:rPr>
          <w:rFonts w:ascii="Arial" w:hAnsi="Arial" w:cs="Arial"/>
          <w:lang w:val="es-ES"/>
        </w:rPr>
        <w:t>.</w:t>
      </w:r>
    </w:p>
    <w:p w:rsidR="00737B5F" w:rsidRDefault="00737B5F" w:rsidP="00B12CE2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El poder negociador de clientes (y canales de distribución si los hay)</w:t>
      </w:r>
    </w:p>
    <w:p w:rsidR="00B12CE2" w:rsidRPr="00B12CE2" w:rsidRDefault="00737B5F" w:rsidP="00B12CE2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El poder negociador de proveedores</w:t>
      </w:r>
      <w:r w:rsidR="001D7F01">
        <w:rPr>
          <w:rFonts w:ascii="Arial" w:hAnsi="Arial" w:cs="Arial"/>
          <w:lang w:val="es-ES"/>
        </w:rPr>
        <w:t>.</w:t>
      </w:r>
    </w:p>
    <w:p w:rsidR="00737B5F" w:rsidRDefault="00737B5F" w:rsidP="00B12CE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Pero en los últimos años se han incorporado otras posibles fuerzas (a tener más o menos en cuenta en función del sector):</w:t>
      </w:r>
    </w:p>
    <w:p w:rsidR="00737B5F" w:rsidRDefault="00737B5F" w:rsidP="00737B5F">
      <w:pPr>
        <w:pStyle w:val="Prrafodelista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Digitalización</w:t>
      </w:r>
      <w:r w:rsidR="001D7F01">
        <w:rPr>
          <w:rFonts w:ascii="Arial" w:hAnsi="Arial" w:cs="Arial"/>
        </w:rPr>
        <w:t>.</w:t>
      </w:r>
    </w:p>
    <w:p w:rsidR="00737B5F" w:rsidRDefault="00737B5F" w:rsidP="00737B5F">
      <w:pPr>
        <w:pStyle w:val="Prrafodelista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Globalización</w:t>
      </w:r>
      <w:r w:rsidR="001D7F01">
        <w:rPr>
          <w:rFonts w:ascii="Arial" w:hAnsi="Arial" w:cs="Arial"/>
        </w:rPr>
        <w:t>.</w:t>
      </w:r>
    </w:p>
    <w:p w:rsidR="00737B5F" w:rsidRDefault="00737B5F" w:rsidP="00737B5F">
      <w:pPr>
        <w:pStyle w:val="Prrafodelista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Regulación/Desregulación</w:t>
      </w:r>
      <w:r w:rsidR="001D7F01">
        <w:rPr>
          <w:rFonts w:ascii="Arial" w:hAnsi="Arial" w:cs="Arial"/>
        </w:rPr>
        <w:t>.</w:t>
      </w:r>
    </w:p>
    <w:p w:rsidR="00737B5F" w:rsidRDefault="00737B5F" w:rsidP="00737B5F">
      <w:pPr>
        <w:pStyle w:val="Prrafodelista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Productos complementarios</w:t>
      </w:r>
      <w:r w:rsidR="001D7F01">
        <w:rPr>
          <w:rFonts w:ascii="Arial" w:hAnsi="Arial" w:cs="Arial"/>
        </w:rPr>
        <w:t>.</w:t>
      </w:r>
    </w:p>
    <w:p w:rsidR="00737B5F" w:rsidRDefault="00737B5F" w:rsidP="00737B5F">
      <w:pPr>
        <w:pStyle w:val="Prrafodelista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Productos alternativos (que se pueden definir como sustitutivos muy indirectos, algo así como elegir entre ir al cine, al restaurante o quedarse en casa viendo el fútbol un sábado por la noche)</w:t>
      </w:r>
    </w:p>
    <w:p w:rsidR="00737B5F" w:rsidRDefault="00737B5F" w:rsidP="00737B5F">
      <w:pPr>
        <w:pStyle w:val="Prrafodelista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Impacto de las Administraciones Públicas</w:t>
      </w:r>
      <w:r w:rsidR="001D7F01">
        <w:rPr>
          <w:rFonts w:ascii="Arial" w:hAnsi="Arial" w:cs="Arial"/>
        </w:rPr>
        <w:t>.</w:t>
      </w:r>
    </w:p>
    <w:p w:rsidR="00737B5F" w:rsidRDefault="00737B5F" w:rsidP="00737B5F">
      <w:pPr>
        <w:pStyle w:val="Prrafodelista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Poder de las asociaciones de consumidores</w:t>
      </w:r>
      <w:r w:rsidR="001D7F01">
        <w:rPr>
          <w:rFonts w:ascii="Arial" w:hAnsi="Arial" w:cs="Arial"/>
        </w:rPr>
        <w:t>.</w:t>
      </w:r>
    </w:p>
    <w:p w:rsidR="00737B5F" w:rsidRPr="00737B5F" w:rsidRDefault="00737B5F" w:rsidP="00737B5F">
      <w:pPr>
        <w:pStyle w:val="Prrafodelista"/>
        <w:numPr>
          <w:ilvl w:val="0"/>
          <w:numId w:val="8"/>
        </w:numPr>
        <w:jc w:val="both"/>
        <w:rPr>
          <w:rFonts w:ascii="Arial" w:hAnsi="Arial" w:cs="Arial"/>
        </w:rPr>
      </w:pPr>
      <w:r w:rsidRPr="00737B5F">
        <w:rPr>
          <w:rFonts w:ascii="Arial" w:hAnsi="Arial" w:cs="Arial"/>
        </w:rPr>
        <w:t>Poder de los grupos ecologistas</w:t>
      </w:r>
      <w:r>
        <w:rPr>
          <w:rFonts w:ascii="Arial" w:hAnsi="Arial" w:cs="Arial"/>
        </w:rPr>
        <w:t>...</w:t>
      </w:r>
    </w:p>
    <w:p w:rsidR="00737B5F" w:rsidRDefault="00737B5F" w:rsidP="00737B5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Cada </w:t>
      </w:r>
      <w:r w:rsidR="00F475DC">
        <w:rPr>
          <w:rFonts w:ascii="Arial" w:hAnsi="Arial" w:cs="Arial"/>
        </w:rPr>
        <w:t>paricipante</w:t>
      </w:r>
      <w:r>
        <w:rPr>
          <w:rFonts w:ascii="Arial" w:hAnsi="Arial" w:cs="Arial"/>
        </w:rPr>
        <w:t xml:space="preserve"> deberá decidir qué fuerzas analiza, ver su impacto en el sector, e identificar si de ese análisis se deducen posible</w:t>
      </w:r>
      <w:r w:rsidR="00F475DC">
        <w:rPr>
          <w:rFonts w:ascii="Arial" w:hAnsi="Arial" w:cs="Arial"/>
        </w:rPr>
        <w:t>s Oportunidades o A</w:t>
      </w:r>
      <w:r>
        <w:rPr>
          <w:rFonts w:ascii="Arial" w:hAnsi="Arial" w:cs="Arial"/>
        </w:rPr>
        <w:t xml:space="preserve">menazas para </w:t>
      </w:r>
      <w:r w:rsidR="00D54ADF">
        <w:rPr>
          <w:rFonts w:ascii="Arial" w:hAnsi="Arial" w:cs="Arial"/>
        </w:rPr>
        <w:t>LL&amp;C</w:t>
      </w:r>
      <w:r>
        <w:rPr>
          <w:rFonts w:ascii="Arial" w:hAnsi="Arial" w:cs="Arial"/>
        </w:rPr>
        <w:t>.</w:t>
      </w:r>
    </w:p>
    <w:p w:rsidR="00EE2C99" w:rsidRPr="00BA02DD" w:rsidRDefault="00EE2C99" w:rsidP="00EE2C99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lastRenderedPageBreak/>
        <w:t>Finalmente comentar, que a la hora de enfrentarse a un análisis sectorial es importante tener en cuenta las grandes tendencias del sector.</w:t>
      </w:r>
    </w:p>
    <w:p w:rsidR="00FA402D" w:rsidRDefault="00BA02DD" w:rsidP="00FA402D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b/>
          <w:lang w:val="es-ES"/>
        </w:rPr>
        <w:t>C</w:t>
      </w:r>
      <w:r w:rsidR="00FA402D" w:rsidRPr="00E65C1E">
        <w:rPr>
          <w:rFonts w:ascii="Arial" w:hAnsi="Arial" w:cs="Arial"/>
          <w:b/>
          <w:lang w:val="es-ES"/>
        </w:rPr>
        <w:t xml:space="preserve">omentarios </w:t>
      </w:r>
      <w:r>
        <w:rPr>
          <w:rFonts w:ascii="Arial" w:hAnsi="Arial" w:cs="Arial"/>
          <w:b/>
          <w:lang w:val="es-ES"/>
        </w:rPr>
        <w:t>Finales</w:t>
      </w:r>
    </w:p>
    <w:p w:rsidR="008C2F8A" w:rsidRDefault="00F475DC" w:rsidP="00BA02DD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Para la resolución de este caso </w:t>
      </w:r>
      <w:r w:rsidR="00EE2C99">
        <w:rPr>
          <w:rFonts w:ascii="Arial" w:hAnsi="Arial" w:cs="Arial"/>
          <w:lang w:val="es-ES"/>
        </w:rPr>
        <w:t>no se aporta ningún tipo de información complementaria</w:t>
      </w:r>
      <w:r w:rsidR="00FA402D" w:rsidRPr="00FA402D">
        <w:rPr>
          <w:rFonts w:ascii="Arial" w:hAnsi="Arial" w:cs="Arial"/>
          <w:lang w:val="es-ES"/>
        </w:rPr>
        <w:t xml:space="preserve">, ya que </w:t>
      </w:r>
      <w:r w:rsidR="004040AC">
        <w:rPr>
          <w:rFonts w:ascii="Arial" w:hAnsi="Arial" w:cs="Arial"/>
          <w:lang w:val="es-ES"/>
        </w:rPr>
        <w:t>se persigue q</w:t>
      </w:r>
      <w:r w:rsidR="00FA402D" w:rsidRPr="00FA402D">
        <w:rPr>
          <w:rFonts w:ascii="Arial" w:hAnsi="Arial" w:cs="Arial"/>
          <w:lang w:val="es-ES"/>
        </w:rPr>
        <w:t>ue los participantes se enfrenten a una investigación desestructurada. Por lo tanto</w:t>
      </w:r>
      <w:r w:rsidR="0002128B">
        <w:rPr>
          <w:rFonts w:ascii="Arial" w:hAnsi="Arial" w:cs="Arial"/>
          <w:lang w:val="es-ES"/>
        </w:rPr>
        <w:t>,</w:t>
      </w:r>
      <w:r w:rsidR="00FA402D" w:rsidRPr="00FA402D">
        <w:rPr>
          <w:rFonts w:ascii="Arial" w:hAnsi="Arial" w:cs="Arial"/>
          <w:lang w:val="es-ES"/>
        </w:rPr>
        <w:t xml:space="preserve"> la clave será encontrar buenas fuentes de información, </w:t>
      </w:r>
      <w:r w:rsidR="004040AC">
        <w:rPr>
          <w:rFonts w:ascii="Arial" w:hAnsi="Arial" w:cs="Arial"/>
          <w:lang w:val="es-ES"/>
        </w:rPr>
        <w:t>analizar</w:t>
      </w:r>
      <w:r w:rsidR="00FA402D" w:rsidRPr="00FA402D">
        <w:rPr>
          <w:rFonts w:ascii="Arial" w:hAnsi="Arial" w:cs="Arial"/>
          <w:lang w:val="es-ES"/>
        </w:rPr>
        <w:t xml:space="preserve"> </w:t>
      </w:r>
      <w:r>
        <w:rPr>
          <w:rFonts w:ascii="Arial" w:hAnsi="Arial" w:cs="Arial"/>
          <w:lang w:val="es-ES"/>
        </w:rPr>
        <w:t>informes secto</w:t>
      </w:r>
      <w:r w:rsidR="00D54ADF">
        <w:rPr>
          <w:rFonts w:ascii="Arial" w:hAnsi="Arial" w:cs="Arial"/>
          <w:lang w:val="es-ES"/>
        </w:rPr>
        <w:t>riales</w:t>
      </w:r>
      <w:r>
        <w:rPr>
          <w:rFonts w:ascii="Arial" w:hAnsi="Arial" w:cs="Arial"/>
          <w:lang w:val="es-ES"/>
        </w:rPr>
        <w:t xml:space="preserve">, </w:t>
      </w:r>
      <w:r w:rsidR="00FA402D" w:rsidRPr="00FA402D">
        <w:rPr>
          <w:rFonts w:ascii="Arial" w:hAnsi="Arial" w:cs="Arial"/>
          <w:lang w:val="es-ES"/>
        </w:rPr>
        <w:t xml:space="preserve">artículos </w:t>
      </w:r>
      <w:r>
        <w:rPr>
          <w:rFonts w:ascii="Arial" w:hAnsi="Arial" w:cs="Arial"/>
          <w:lang w:val="es-ES"/>
        </w:rPr>
        <w:t xml:space="preserve">de prensa, </w:t>
      </w:r>
      <w:r w:rsidR="004E56A8">
        <w:rPr>
          <w:rFonts w:ascii="Arial" w:hAnsi="Arial" w:cs="Arial"/>
          <w:lang w:val="es-ES"/>
        </w:rPr>
        <w:t xml:space="preserve">o cualquier otra fuente que se considere relevante. Finalmente se sintetizarán las </w:t>
      </w:r>
      <w:r w:rsidR="00FA402D" w:rsidRPr="00FA402D">
        <w:rPr>
          <w:rFonts w:ascii="Arial" w:hAnsi="Arial" w:cs="Arial"/>
          <w:lang w:val="es-ES"/>
        </w:rPr>
        <w:t>grandes conclusiones</w:t>
      </w:r>
      <w:r w:rsidR="004E56A8">
        <w:rPr>
          <w:rFonts w:ascii="Arial" w:hAnsi="Arial" w:cs="Arial"/>
          <w:lang w:val="es-ES"/>
        </w:rPr>
        <w:t xml:space="preserve"> obtenidas en un documento </w:t>
      </w:r>
      <w:bookmarkStart w:id="0" w:name="_GoBack"/>
      <w:bookmarkEnd w:id="0"/>
      <w:r w:rsidR="00CD7E0A">
        <w:rPr>
          <w:rFonts w:ascii="Arial" w:hAnsi="Arial" w:cs="Arial"/>
          <w:lang w:val="es-ES"/>
        </w:rPr>
        <w:t>cuya extensión</w:t>
      </w:r>
      <w:r w:rsidR="004E56A8">
        <w:rPr>
          <w:rFonts w:ascii="Arial" w:hAnsi="Arial" w:cs="Arial"/>
          <w:lang w:val="es-ES"/>
        </w:rPr>
        <w:t xml:space="preserve"> no debe</w:t>
      </w:r>
      <w:r w:rsidR="00EE2C99">
        <w:rPr>
          <w:rFonts w:ascii="Arial" w:hAnsi="Arial" w:cs="Arial"/>
          <w:lang w:val="es-ES"/>
        </w:rPr>
        <w:t>rá</w:t>
      </w:r>
      <w:r w:rsidR="004E56A8">
        <w:rPr>
          <w:rFonts w:ascii="Arial" w:hAnsi="Arial" w:cs="Arial"/>
          <w:lang w:val="es-ES"/>
        </w:rPr>
        <w:t xml:space="preserve"> superar </w:t>
      </w:r>
      <w:r w:rsidR="00EE2C99">
        <w:rPr>
          <w:rFonts w:ascii="Arial" w:hAnsi="Arial" w:cs="Arial"/>
          <w:lang w:val="es-ES"/>
        </w:rPr>
        <w:t xml:space="preserve">las </w:t>
      </w:r>
      <w:r w:rsidR="004E56A8">
        <w:rPr>
          <w:rFonts w:ascii="Arial" w:hAnsi="Arial" w:cs="Arial"/>
          <w:lang w:val="es-ES"/>
        </w:rPr>
        <w:t>10 páginas (excluida la portada y las referencias bibliográficas)</w:t>
      </w:r>
      <w:r w:rsidR="00D54ADF">
        <w:rPr>
          <w:rFonts w:ascii="Arial" w:hAnsi="Arial" w:cs="Arial"/>
          <w:lang w:val="es-ES"/>
        </w:rPr>
        <w:t>.</w:t>
      </w:r>
    </w:p>
    <w:sectPr w:rsidR="008C2F8A" w:rsidSect="0007426A">
      <w:headerReference w:type="default" r:id="rId8"/>
      <w:footerReference w:type="default" r:id="rId9"/>
      <w:pgSz w:w="11906" w:h="16838"/>
      <w:pgMar w:top="2127" w:right="849" w:bottom="1134" w:left="1701" w:header="708" w:footer="3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75DC" w:rsidRDefault="00F475DC" w:rsidP="00A77705">
      <w:pPr>
        <w:spacing w:after="0" w:line="240" w:lineRule="auto"/>
      </w:pPr>
      <w:r>
        <w:separator/>
      </w:r>
    </w:p>
  </w:endnote>
  <w:endnote w:type="continuationSeparator" w:id="0">
    <w:p w:rsidR="00F475DC" w:rsidRDefault="00F475DC" w:rsidP="00A77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5DC" w:rsidRDefault="00F475DC" w:rsidP="00DF568E">
    <w:pPr>
      <w:pStyle w:val="Encabezado"/>
      <w:ind w:left="7080"/>
    </w:pPr>
  </w:p>
  <w:p w:rsidR="00F475DC" w:rsidRDefault="00F475DC" w:rsidP="00AD3280">
    <w:pPr>
      <w:tabs>
        <w:tab w:val="left" w:pos="5526"/>
      </w:tabs>
    </w:pPr>
    <w:r>
      <w:rPr>
        <w:noProof/>
        <w:lang w:val="es-ES" w:eastAsia="es-ES"/>
      </w:rPr>
      <w:drawing>
        <wp:anchor distT="0" distB="0" distL="114300" distR="114300" simplePos="0" relativeHeight="251679232" behindDoc="1" locked="0" layoutInCell="1" allowOverlap="1">
          <wp:simplePos x="0" y="0"/>
          <wp:positionH relativeFrom="margin">
            <wp:posOffset>-402480</wp:posOffset>
          </wp:positionH>
          <wp:positionV relativeFrom="paragraph">
            <wp:posOffset>282934</wp:posOffset>
          </wp:positionV>
          <wp:extent cx="6849373" cy="437515"/>
          <wp:effectExtent l="0" t="0" r="8890" b="635"/>
          <wp:wrapNone/>
          <wp:docPr id="269" name="Imagen 269" descr="Banda_Vertic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64" descr="Banda_Vertic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9373" cy="437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  <w:p w:rsidR="00F475DC" w:rsidRDefault="00F475DC" w:rsidP="00DF568E">
    <w:pPr>
      <w:pStyle w:val="Piedepgina"/>
    </w:pPr>
  </w:p>
  <w:p w:rsidR="00F475DC" w:rsidRDefault="00CD7E0A" w:rsidP="00DF568E">
    <w:pPr>
      <w:pStyle w:val="Piedepgina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475DC" w:rsidRDefault="00F475DC">
    <w:pPr>
      <w:pStyle w:val="Piedepgina"/>
    </w:pPr>
    <w:r>
      <w:rPr>
        <w:noProof/>
        <w:lang w:val="es-ES" w:eastAsia="es-ES"/>
      </w:rPr>
      <w:drawing>
        <wp:anchor distT="0" distB="0" distL="114300" distR="114300" simplePos="0" relativeHeight="251671040" behindDoc="1" locked="0" layoutInCell="1" allowOverlap="1">
          <wp:simplePos x="0" y="0"/>
          <wp:positionH relativeFrom="column">
            <wp:posOffset>472440</wp:posOffset>
          </wp:positionH>
          <wp:positionV relativeFrom="paragraph">
            <wp:posOffset>9988550</wp:posOffset>
          </wp:positionV>
          <wp:extent cx="6903085" cy="437515"/>
          <wp:effectExtent l="0" t="0" r="0" b="635"/>
          <wp:wrapNone/>
          <wp:docPr id="270" name="Imagen 270" descr="Banda_Vertic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64" descr="Banda_Vertic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3085" cy="437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7968" behindDoc="1" locked="0" layoutInCell="1" allowOverlap="1">
          <wp:simplePos x="0" y="0"/>
          <wp:positionH relativeFrom="column">
            <wp:posOffset>472440</wp:posOffset>
          </wp:positionH>
          <wp:positionV relativeFrom="paragraph">
            <wp:posOffset>9988550</wp:posOffset>
          </wp:positionV>
          <wp:extent cx="6903085" cy="437515"/>
          <wp:effectExtent l="0" t="0" r="0" b="635"/>
          <wp:wrapNone/>
          <wp:docPr id="271" name="Imagen 271" descr="Banda_Vertic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64" descr="Banda_Vertic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3085" cy="437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4896" behindDoc="1" locked="0" layoutInCell="1" allowOverlap="1">
          <wp:simplePos x="0" y="0"/>
          <wp:positionH relativeFrom="column">
            <wp:posOffset>472440</wp:posOffset>
          </wp:positionH>
          <wp:positionV relativeFrom="paragraph">
            <wp:posOffset>9988550</wp:posOffset>
          </wp:positionV>
          <wp:extent cx="6903085" cy="437515"/>
          <wp:effectExtent l="0" t="0" r="0" b="635"/>
          <wp:wrapNone/>
          <wp:docPr id="272" name="Imagen 272" descr="Banda_Vertic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64" descr="Banda_Vertic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3085" cy="437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1824" behindDoc="1" locked="0" layoutInCell="1" allowOverlap="1">
          <wp:simplePos x="0" y="0"/>
          <wp:positionH relativeFrom="column">
            <wp:posOffset>472440</wp:posOffset>
          </wp:positionH>
          <wp:positionV relativeFrom="paragraph">
            <wp:posOffset>9988550</wp:posOffset>
          </wp:positionV>
          <wp:extent cx="6903085" cy="437515"/>
          <wp:effectExtent l="0" t="0" r="0" b="635"/>
          <wp:wrapNone/>
          <wp:docPr id="273" name="Imagen 273" descr="Banda_Vertic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64" descr="Banda_Vertic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3085" cy="437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472440</wp:posOffset>
          </wp:positionH>
          <wp:positionV relativeFrom="paragraph">
            <wp:posOffset>9988550</wp:posOffset>
          </wp:positionV>
          <wp:extent cx="6903085" cy="437515"/>
          <wp:effectExtent l="0" t="0" r="0" b="635"/>
          <wp:wrapNone/>
          <wp:docPr id="274" name="Imagen 274" descr="Banda_Vertic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64" descr="Banda_Vertic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3085" cy="437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75DC" w:rsidRDefault="00F475DC" w:rsidP="00A77705">
      <w:pPr>
        <w:spacing w:after="0" w:line="240" w:lineRule="auto"/>
      </w:pPr>
      <w:r>
        <w:separator/>
      </w:r>
    </w:p>
  </w:footnote>
  <w:footnote w:type="continuationSeparator" w:id="0">
    <w:p w:rsidR="00F475DC" w:rsidRDefault="00F475DC" w:rsidP="00A777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C99" w:rsidRDefault="00895C91" w:rsidP="00895C91">
    <w:pPr>
      <w:pStyle w:val="Encabezado"/>
      <w:tabs>
        <w:tab w:val="clear" w:pos="4252"/>
        <w:tab w:val="clear" w:pos="8504"/>
        <w:tab w:val="left" w:pos="7075"/>
      </w:tabs>
    </w:pPr>
    <w:r w:rsidRPr="00895C91">
      <w:rPr>
        <w:lang w:val="es-ES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3833357</wp:posOffset>
          </wp:positionH>
          <wp:positionV relativeFrom="paragraph">
            <wp:posOffset>11126</wp:posOffset>
          </wp:positionV>
          <wp:extent cx="2107096" cy="216896"/>
          <wp:effectExtent l="0" t="0" r="0" b="0"/>
          <wp:wrapNone/>
          <wp:docPr id="15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7096" cy="2168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95C91">
      <w:rPr>
        <w:lang w:val="es-ES"/>
      </w:rPr>
      <w:drawing>
        <wp:inline distT="0" distB="0" distL="0" distR="0" wp14:anchorId="47A02B99" wp14:editId="5A3DB6DA">
          <wp:extent cx="1905000" cy="334710"/>
          <wp:effectExtent l="0" t="0" r="0" b="8255"/>
          <wp:docPr id="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05000" cy="334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023E4"/>
    <w:multiLevelType w:val="hybridMultilevel"/>
    <w:tmpl w:val="4FDAD9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C25421"/>
    <w:multiLevelType w:val="hybridMultilevel"/>
    <w:tmpl w:val="64FA5C5C"/>
    <w:lvl w:ilvl="0" w:tplc="19EA7A26">
      <w:start w:val="2"/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EB38BD"/>
    <w:multiLevelType w:val="hybridMultilevel"/>
    <w:tmpl w:val="C0EA68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D4232C"/>
    <w:multiLevelType w:val="hybridMultilevel"/>
    <w:tmpl w:val="29261AF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2F48B1"/>
    <w:multiLevelType w:val="hybridMultilevel"/>
    <w:tmpl w:val="3154DCC4"/>
    <w:lvl w:ilvl="0" w:tplc="036A557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3F190F"/>
    <w:multiLevelType w:val="hybridMultilevel"/>
    <w:tmpl w:val="374A8242"/>
    <w:lvl w:ilvl="0" w:tplc="0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70FA64C3"/>
    <w:multiLevelType w:val="hybridMultilevel"/>
    <w:tmpl w:val="C7F233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917834"/>
    <w:multiLevelType w:val="hybridMultilevel"/>
    <w:tmpl w:val="7CB0D3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8108B7"/>
    <w:multiLevelType w:val="hybridMultilevel"/>
    <w:tmpl w:val="FAFEAD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8"/>
  </w:num>
  <w:num w:numId="5">
    <w:abstractNumId w:val="4"/>
  </w:num>
  <w:num w:numId="6">
    <w:abstractNumId w:val="2"/>
  </w:num>
  <w:num w:numId="7">
    <w:abstractNumId w:val="7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77705"/>
    <w:rsid w:val="0002128B"/>
    <w:rsid w:val="00027EC3"/>
    <w:rsid w:val="00057A4D"/>
    <w:rsid w:val="0007426A"/>
    <w:rsid w:val="001526E5"/>
    <w:rsid w:val="00161292"/>
    <w:rsid w:val="0017151D"/>
    <w:rsid w:val="00177E40"/>
    <w:rsid w:val="001B63DB"/>
    <w:rsid w:val="001C1E4F"/>
    <w:rsid w:val="001D7F01"/>
    <w:rsid w:val="00212B24"/>
    <w:rsid w:val="00214EDC"/>
    <w:rsid w:val="00233B53"/>
    <w:rsid w:val="00256E28"/>
    <w:rsid w:val="00293CF3"/>
    <w:rsid w:val="002A6A5D"/>
    <w:rsid w:val="002B4030"/>
    <w:rsid w:val="002D0F2D"/>
    <w:rsid w:val="003127F1"/>
    <w:rsid w:val="003342C1"/>
    <w:rsid w:val="00345B8A"/>
    <w:rsid w:val="003461DC"/>
    <w:rsid w:val="00394BAC"/>
    <w:rsid w:val="003A0F6A"/>
    <w:rsid w:val="003A54E0"/>
    <w:rsid w:val="003A702A"/>
    <w:rsid w:val="003B3A7E"/>
    <w:rsid w:val="003C5A09"/>
    <w:rsid w:val="004040AC"/>
    <w:rsid w:val="00416EDF"/>
    <w:rsid w:val="00443589"/>
    <w:rsid w:val="0046177E"/>
    <w:rsid w:val="00473567"/>
    <w:rsid w:val="004B686B"/>
    <w:rsid w:val="004E4D5C"/>
    <w:rsid w:val="004E56A8"/>
    <w:rsid w:val="0050132F"/>
    <w:rsid w:val="005121E5"/>
    <w:rsid w:val="00515DD7"/>
    <w:rsid w:val="0053305C"/>
    <w:rsid w:val="00561501"/>
    <w:rsid w:val="00564519"/>
    <w:rsid w:val="00594A35"/>
    <w:rsid w:val="005A4108"/>
    <w:rsid w:val="005D2647"/>
    <w:rsid w:val="005D5E9C"/>
    <w:rsid w:val="005F1CDE"/>
    <w:rsid w:val="006B1A59"/>
    <w:rsid w:val="006B37CF"/>
    <w:rsid w:val="006E66B7"/>
    <w:rsid w:val="006F0F8C"/>
    <w:rsid w:val="007053B5"/>
    <w:rsid w:val="007124B2"/>
    <w:rsid w:val="007160D2"/>
    <w:rsid w:val="00737A25"/>
    <w:rsid w:val="00737B5F"/>
    <w:rsid w:val="008079BA"/>
    <w:rsid w:val="008114B0"/>
    <w:rsid w:val="00853279"/>
    <w:rsid w:val="008606DD"/>
    <w:rsid w:val="00895C91"/>
    <w:rsid w:val="008A4166"/>
    <w:rsid w:val="008B7E2E"/>
    <w:rsid w:val="008C2F8A"/>
    <w:rsid w:val="008D7BB6"/>
    <w:rsid w:val="008F642B"/>
    <w:rsid w:val="009148D9"/>
    <w:rsid w:val="009412B7"/>
    <w:rsid w:val="009968E8"/>
    <w:rsid w:val="009C0268"/>
    <w:rsid w:val="009D7324"/>
    <w:rsid w:val="00A15458"/>
    <w:rsid w:val="00A34B0E"/>
    <w:rsid w:val="00A37C58"/>
    <w:rsid w:val="00A45725"/>
    <w:rsid w:val="00A77705"/>
    <w:rsid w:val="00A94E2B"/>
    <w:rsid w:val="00AB0CA1"/>
    <w:rsid w:val="00AD3280"/>
    <w:rsid w:val="00AD3344"/>
    <w:rsid w:val="00B12CE2"/>
    <w:rsid w:val="00B50A86"/>
    <w:rsid w:val="00BA02DD"/>
    <w:rsid w:val="00BC777D"/>
    <w:rsid w:val="00BD5927"/>
    <w:rsid w:val="00C80A98"/>
    <w:rsid w:val="00C97A18"/>
    <w:rsid w:val="00CC2245"/>
    <w:rsid w:val="00CC2991"/>
    <w:rsid w:val="00CD7E0A"/>
    <w:rsid w:val="00CE0C60"/>
    <w:rsid w:val="00CE3262"/>
    <w:rsid w:val="00CF0C94"/>
    <w:rsid w:val="00D23E77"/>
    <w:rsid w:val="00D32EC1"/>
    <w:rsid w:val="00D35F0D"/>
    <w:rsid w:val="00D54386"/>
    <w:rsid w:val="00D54ADF"/>
    <w:rsid w:val="00D82E83"/>
    <w:rsid w:val="00DA225E"/>
    <w:rsid w:val="00DD7816"/>
    <w:rsid w:val="00DE6A44"/>
    <w:rsid w:val="00DF568E"/>
    <w:rsid w:val="00DF6D5E"/>
    <w:rsid w:val="00E07B0C"/>
    <w:rsid w:val="00E22A4A"/>
    <w:rsid w:val="00E65C1E"/>
    <w:rsid w:val="00E9621A"/>
    <w:rsid w:val="00EA5EBF"/>
    <w:rsid w:val="00EB609D"/>
    <w:rsid w:val="00EE2C99"/>
    <w:rsid w:val="00EF1D48"/>
    <w:rsid w:val="00F14236"/>
    <w:rsid w:val="00F20CB0"/>
    <w:rsid w:val="00F32186"/>
    <w:rsid w:val="00F378AF"/>
    <w:rsid w:val="00F44DFA"/>
    <w:rsid w:val="00F475DC"/>
    <w:rsid w:val="00F9419A"/>
    <w:rsid w:val="00FA402D"/>
    <w:rsid w:val="00FB1F2E"/>
    <w:rsid w:val="00FD51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DA471BF-DE74-4E3B-A018-5D8878D5D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6A5D"/>
    <w:rPr>
      <w:lang w:val="es-ES_tradnl"/>
    </w:rPr>
  </w:style>
  <w:style w:type="paragraph" w:styleId="Ttulo1">
    <w:name w:val="heading 1"/>
    <w:basedOn w:val="Normal"/>
    <w:next w:val="Normal"/>
    <w:link w:val="Ttulo1Car"/>
    <w:qFormat/>
    <w:rsid w:val="00A15458"/>
    <w:pPr>
      <w:keepNext/>
      <w:spacing w:after="0" w:line="240" w:lineRule="auto"/>
      <w:ind w:left="2520"/>
      <w:jc w:val="center"/>
      <w:outlineLvl w:val="0"/>
    </w:pPr>
    <w:rPr>
      <w:rFonts w:ascii="Arial" w:eastAsia="Times New Roman" w:hAnsi="Arial" w:cs="Arial"/>
      <w:sz w:val="32"/>
      <w:szCs w:val="24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777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A77705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A777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77705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77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77705"/>
    <w:rPr>
      <w:rFonts w:ascii="Tahoma" w:hAnsi="Tahoma" w:cs="Tahoma"/>
      <w:sz w:val="16"/>
      <w:szCs w:val="16"/>
      <w:lang w:val="es-ES_tradnl"/>
    </w:rPr>
  </w:style>
  <w:style w:type="paragraph" w:styleId="Prrafodelista">
    <w:name w:val="List Paragraph"/>
    <w:basedOn w:val="Normal"/>
    <w:uiPriority w:val="34"/>
    <w:qFormat/>
    <w:rsid w:val="00BC777D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3305C"/>
    <w:rPr>
      <w:color w:val="0000FF"/>
      <w:u w:val="single"/>
    </w:rPr>
  </w:style>
  <w:style w:type="character" w:styleId="CitaHTML">
    <w:name w:val="HTML Cite"/>
    <w:basedOn w:val="Fuentedeprrafopredeter"/>
    <w:uiPriority w:val="99"/>
    <w:semiHidden/>
    <w:unhideWhenUsed/>
    <w:rsid w:val="0053305C"/>
    <w:rPr>
      <w:i/>
      <w:iCs/>
    </w:rPr>
  </w:style>
  <w:style w:type="character" w:customStyle="1" w:styleId="Ttulo1Car">
    <w:name w:val="Título 1 Car"/>
    <w:basedOn w:val="Fuentedeprrafopredeter"/>
    <w:link w:val="Ttulo1"/>
    <w:rsid w:val="00A15458"/>
    <w:rPr>
      <w:rFonts w:ascii="Arial" w:eastAsia="Times New Roman" w:hAnsi="Arial" w:cs="Arial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0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272919">
          <w:marLeft w:val="274"/>
          <w:marRight w:val="0"/>
          <w:marTop w:val="7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5306">
          <w:marLeft w:val="274"/>
          <w:marRight w:val="0"/>
          <w:marTop w:val="7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1624">
          <w:marLeft w:val="274"/>
          <w:marRight w:val="0"/>
          <w:marTop w:val="7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051278">
          <w:marLeft w:val="274"/>
          <w:marRight w:val="0"/>
          <w:marTop w:val="7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50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154054">
          <w:marLeft w:val="662"/>
          <w:marRight w:val="0"/>
          <w:marTop w:val="5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9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482736">
          <w:marLeft w:val="662"/>
          <w:marRight w:val="0"/>
          <w:marTop w:val="5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6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955813">
          <w:marLeft w:val="662"/>
          <w:marRight w:val="0"/>
          <w:marTop w:val="5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44894">
          <w:marLeft w:val="662"/>
          <w:marRight w:val="0"/>
          <w:marTop w:val="5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9701">
          <w:marLeft w:val="1483"/>
          <w:marRight w:val="0"/>
          <w:marTop w:val="5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8070">
          <w:marLeft w:val="1483"/>
          <w:marRight w:val="0"/>
          <w:marTop w:val="5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0666">
          <w:marLeft w:val="1483"/>
          <w:marRight w:val="0"/>
          <w:marTop w:val="5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22847">
          <w:marLeft w:val="1483"/>
          <w:marRight w:val="0"/>
          <w:marTop w:val="5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8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5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041620">
          <w:marLeft w:val="662"/>
          <w:marRight w:val="0"/>
          <w:marTop w:val="5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260197">
          <w:marLeft w:val="274"/>
          <w:marRight w:val="0"/>
          <w:marTop w:val="7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24205">
          <w:marLeft w:val="274"/>
          <w:marRight w:val="0"/>
          <w:marTop w:val="7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5521">
          <w:marLeft w:val="274"/>
          <w:marRight w:val="0"/>
          <w:marTop w:val="7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006">
          <w:marLeft w:val="274"/>
          <w:marRight w:val="0"/>
          <w:marTop w:val="7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0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0D1A6-72CF-437E-A61F-226D8F163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358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Iglesias</dc:creator>
  <cp:lastModifiedBy>Iñigo IVO. Valenciaga Oyarzabal</cp:lastModifiedBy>
  <cp:revision>5</cp:revision>
  <cp:lastPrinted>2014-03-13T16:04:00Z</cp:lastPrinted>
  <dcterms:created xsi:type="dcterms:W3CDTF">2018-04-03T17:12:00Z</dcterms:created>
  <dcterms:modified xsi:type="dcterms:W3CDTF">2018-04-05T15:34:00Z</dcterms:modified>
</cp:coreProperties>
</file>