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6D07" w:rsidRPr="00E30208" w:rsidRDefault="00C06D07" w:rsidP="00BA02DD">
      <w:pPr>
        <w:jc w:val="both"/>
        <w:rPr>
          <w:rFonts w:ascii="Arial" w:hAnsi="Arial" w:cs="Arial"/>
          <w:b/>
          <w:sz w:val="24"/>
          <w:lang w:val="es-ES"/>
        </w:rPr>
      </w:pPr>
      <w:r w:rsidRPr="00E30208">
        <w:rPr>
          <w:rFonts w:ascii="Arial" w:hAnsi="Arial" w:cs="Arial"/>
          <w:b/>
          <w:sz w:val="24"/>
          <w:lang w:val="es-ES"/>
        </w:rPr>
        <w:t>Caso de Estudio</w:t>
      </w:r>
    </w:p>
    <w:p w:rsidR="00C06D07" w:rsidRPr="00E30208" w:rsidRDefault="00C06D07" w:rsidP="00BA02DD">
      <w:pPr>
        <w:jc w:val="both"/>
        <w:rPr>
          <w:rFonts w:ascii="Arial" w:hAnsi="Arial" w:cs="Arial"/>
          <w:b/>
          <w:sz w:val="24"/>
          <w:lang w:val="es-ES"/>
        </w:rPr>
      </w:pPr>
      <w:r w:rsidRPr="00E30208">
        <w:rPr>
          <w:rFonts w:ascii="Arial" w:hAnsi="Arial" w:cs="Arial"/>
          <w:b/>
          <w:sz w:val="24"/>
          <w:lang w:val="es-ES"/>
        </w:rPr>
        <w:t>Análisis Sectorial: Consultorías de Comunicación y Relaciones Públicas en México</w:t>
      </w: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p>
    <w:p w:rsidR="00C06D07" w:rsidRDefault="00650585" w:rsidP="00BA02DD">
      <w:pPr>
        <w:jc w:val="both"/>
        <w:rPr>
          <w:rFonts w:ascii="Arial" w:hAnsi="Arial" w:cs="Arial"/>
          <w:b/>
          <w:lang w:val="es-ES"/>
        </w:rPr>
      </w:pPr>
      <w:r>
        <w:rPr>
          <w:rFonts w:ascii="Arial" w:hAnsi="Arial" w:cs="Arial"/>
          <w:b/>
          <w:lang w:val="es-ES"/>
        </w:rPr>
        <w:lastRenderedPageBreak/>
        <w:t>La</w:t>
      </w:r>
      <w:r w:rsidR="00C06D07">
        <w:rPr>
          <w:rFonts w:ascii="Arial" w:hAnsi="Arial" w:cs="Arial"/>
          <w:b/>
          <w:lang w:val="es-ES"/>
        </w:rPr>
        <w:t xml:space="preserve"> consultoría de comunicación en México</w:t>
      </w:r>
    </w:p>
    <w:p w:rsidR="00C06D07" w:rsidRDefault="00C06D07" w:rsidP="00BA02DD">
      <w:pPr>
        <w:jc w:val="both"/>
        <w:rPr>
          <w:rFonts w:ascii="Arial" w:hAnsi="Arial" w:cs="Arial"/>
          <w:lang w:val="es-ES"/>
        </w:rPr>
      </w:pPr>
      <w:r w:rsidRPr="00C06D07">
        <w:rPr>
          <w:rFonts w:ascii="Arial" w:hAnsi="Arial" w:cs="Arial"/>
          <w:lang w:val="es-ES"/>
        </w:rPr>
        <w:t xml:space="preserve">A finales del siglo XX, antes de la década de los noventa, las agencias de </w:t>
      </w:r>
      <w:r w:rsidR="00ED2462">
        <w:rPr>
          <w:rFonts w:ascii="Arial" w:hAnsi="Arial" w:cs="Arial"/>
          <w:lang w:val="es-ES"/>
        </w:rPr>
        <w:t xml:space="preserve">comunicación y </w:t>
      </w:r>
      <w:r w:rsidRPr="00C06D07">
        <w:rPr>
          <w:rFonts w:ascii="Arial" w:hAnsi="Arial" w:cs="Arial"/>
          <w:lang w:val="es-ES"/>
        </w:rPr>
        <w:t xml:space="preserve">relaciones públicas en México no </w:t>
      </w:r>
      <w:r w:rsidR="00ED2462">
        <w:rPr>
          <w:rFonts w:ascii="Arial" w:hAnsi="Arial" w:cs="Arial"/>
          <w:lang w:val="es-ES"/>
        </w:rPr>
        <w:t>constituían</w:t>
      </w:r>
      <w:r w:rsidRPr="00C06D07">
        <w:rPr>
          <w:rFonts w:ascii="Arial" w:hAnsi="Arial" w:cs="Arial"/>
          <w:lang w:val="es-ES"/>
        </w:rPr>
        <w:t xml:space="preserve"> un factor estratégico en </w:t>
      </w:r>
      <w:r w:rsidR="00ED2462">
        <w:rPr>
          <w:rFonts w:ascii="Arial" w:hAnsi="Arial" w:cs="Arial"/>
          <w:lang w:val="es-ES"/>
        </w:rPr>
        <w:t>la esfera</w:t>
      </w:r>
      <w:r w:rsidRPr="00C06D07">
        <w:rPr>
          <w:rFonts w:ascii="Arial" w:hAnsi="Arial" w:cs="Arial"/>
          <w:lang w:val="es-ES"/>
        </w:rPr>
        <w:t xml:space="preserve"> de los negocios</w:t>
      </w:r>
      <w:r w:rsidR="00080D6D">
        <w:rPr>
          <w:rStyle w:val="Refdenotaalfinal"/>
          <w:rFonts w:ascii="Arial" w:hAnsi="Arial" w:cs="Arial"/>
          <w:lang w:val="es-ES"/>
        </w:rPr>
        <w:endnoteReference w:id="1"/>
      </w:r>
      <w:r w:rsidRPr="00C06D07">
        <w:rPr>
          <w:rFonts w:ascii="Arial" w:hAnsi="Arial" w:cs="Arial"/>
          <w:lang w:val="es-ES"/>
        </w:rPr>
        <w:t>.</w:t>
      </w:r>
    </w:p>
    <w:p w:rsidR="00ED2462" w:rsidRDefault="00ED2462" w:rsidP="00BA02DD">
      <w:pPr>
        <w:jc w:val="both"/>
        <w:rPr>
          <w:rFonts w:ascii="Arial" w:hAnsi="Arial" w:cs="Arial"/>
          <w:lang w:val="es-ES"/>
        </w:rPr>
      </w:pPr>
      <w:r w:rsidRPr="00ED2462">
        <w:rPr>
          <w:rFonts w:ascii="Arial" w:hAnsi="Arial" w:cs="Arial"/>
          <w:lang w:val="es-ES"/>
        </w:rPr>
        <w:t>Es hasta finales de la década de los ochenta</w:t>
      </w:r>
      <w:r>
        <w:rPr>
          <w:rFonts w:ascii="Arial" w:hAnsi="Arial" w:cs="Arial"/>
          <w:lang w:val="es-ES"/>
        </w:rPr>
        <w:t>,</w:t>
      </w:r>
      <w:r w:rsidRPr="00ED2462">
        <w:rPr>
          <w:rFonts w:ascii="Arial" w:hAnsi="Arial" w:cs="Arial"/>
          <w:lang w:val="es-ES"/>
        </w:rPr>
        <w:t xml:space="preserve"> cuando México </w:t>
      </w:r>
      <w:r>
        <w:rPr>
          <w:rFonts w:ascii="Arial" w:hAnsi="Arial" w:cs="Arial"/>
          <w:lang w:val="es-ES"/>
        </w:rPr>
        <w:t>dio inicio a su</w:t>
      </w:r>
      <w:r w:rsidRPr="00ED2462">
        <w:rPr>
          <w:rFonts w:ascii="Arial" w:hAnsi="Arial" w:cs="Arial"/>
          <w:lang w:val="es-ES"/>
        </w:rPr>
        <w:t xml:space="preserve"> apertura comercial, </w:t>
      </w:r>
      <w:r>
        <w:rPr>
          <w:rFonts w:ascii="Arial" w:hAnsi="Arial" w:cs="Arial"/>
          <w:lang w:val="es-ES"/>
        </w:rPr>
        <w:t>que</w:t>
      </w:r>
      <w:r w:rsidRPr="00ED2462">
        <w:rPr>
          <w:rFonts w:ascii="Arial" w:hAnsi="Arial" w:cs="Arial"/>
          <w:lang w:val="es-ES"/>
        </w:rPr>
        <w:t xml:space="preserve"> varias compañías multinacionales buscaron expandir sus operaciones en este país </w:t>
      </w:r>
      <w:r>
        <w:rPr>
          <w:rFonts w:ascii="Arial" w:hAnsi="Arial" w:cs="Arial"/>
          <w:lang w:val="es-ES"/>
        </w:rPr>
        <w:t>para posicionarse en el mercado mexicano a través de la construcción de relaciones con los medios de comunicación</w:t>
      </w:r>
      <w:r w:rsidRPr="00ED2462">
        <w:rPr>
          <w:rFonts w:ascii="Arial" w:hAnsi="Arial" w:cs="Arial"/>
          <w:lang w:val="es-ES"/>
        </w:rPr>
        <w:t xml:space="preserve">. </w:t>
      </w:r>
    </w:p>
    <w:p w:rsidR="00ED2462" w:rsidRDefault="00ED2462" w:rsidP="00BA02DD">
      <w:pPr>
        <w:jc w:val="both"/>
        <w:rPr>
          <w:rFonts w:ascii="Arial" w:hAnsi="Arial" w:cs="Arial"/>
          <w:lang w:val="es-ES"/>
        </w:rPr>
      </w:pPr>
      <w:r w:rsidRPr="00ED2462">
        <w:rPr>
          <w:rFonts w:ascii="Arial" w:hAnsi="Arial" w:cs="Arial"/>
          <w:lang w:val="es-ES"/>
        </w:rPr>
        <w:t>Ante e</w:t>
      </w:r>
      <w:r>
        <w:rPr>
          <w:rFonts w:ascii="Arial" w:hAnsi="Arial" w:cs="Arial"/>
          <w:lang w:val="es-ES"/>
        </w:rPr>
        <w:t>sta necesidad - y a la vez oportunidad de negocio -</w:t>
      </w:r>
      <w:r w:rsidRPr="00ED2462">
        <w:rPr>
          <w:rFonts w:ascii="Arial" w:hAnsi="Arial" w:cs="Arial"/>
          <w:lang w:val="es-ES"/>
        </w:rPr>
        <w:t xml:space="preserve"> varias agencias de </w:t>
      </w:r>
      <w:r>
        <w:rPr>
          <w:rFonts w:ascii="Arial" w:hAnsi="Arial" w:cs="Arial"/>
          <w:lang w:val="es-ES"/>
        </w:rPr>
        <w:t xml:space="preserve">comunicación y </w:t>
      </w:r>
      <w:r w:rsidRPr="00ED2462">
        <w:rPr>
          <w:rFonts w:ascii="Arial" w:hAnsi="Arial" w:cs="Arial"/>
          <w:lang w:val="es-ES"/>
        </w:rPr>
        <w:t xml:space="preserve">relaciones públicas internacionales empezaron a generar alianzas con sus pares en México </w:t>
      </w:r>
      <w:r>
        <w:rPr>
          <w:rFonts w:ascii="Arial" w:hAnsi="Arial" w:cs="Arial"/>
          <w:lang w:val="es-ES"/>
        </w:rPr>
        <w:t xml:space="preserve">para el establecimiento de filiales </w:t>
      </w:r>
      <w:r w:rsidRPr="00ED2462">
        <w:rPr>
          <w:rFonts w:ascii="Arial" w:hAnsi="Arial" w:cs="Arial"/>
          <w:lang w:val="es-ES"/>
        </w:rPr>
        <w:t xml:space="preserve">o compraron algunas </w:t>
      </w:r>
      <w:r>
        <w:rPr>
          <w:rFonts w:ascii="Arial" w:hAnsi="Arial" w:cs="Arial"/>
          <w:lang w:val="es-ES"/>
        </w:rPr>
        <w:t xml:space="preserve">empresas del ramo </w:t>
      </w:r>
      <w:r w:rsidRPr="00ED2462">
        <w:rPr>
          <w:rFonts w:ascii="Arial" w:hAnsi="Arial" w:cs="Arial"/>
          <w:lang w:val="es-ES"/>
        </w:rPr>
        <w:t xml:space="preserve">ya establecidas </w:t>
      </w:r>
      <w:r>
        <w:rPr>
          <w:rFonts w:ascii="Arial" w:hAnsi="Arial" w:cs="Arial"/>
          <w:lang w:val="es-ES"/>
        </w:rPr>
        <w:t>con</w:t>
      </w:r>
      <w:r w:rsidRPr="00ED2462">
        <w:rPr>
          <w:rFonts w:ascii="Arial" w:hAnsi="Arial" w:cs="Arial"/>
          <w:lang w:val="es-ES"/>
        </w:rPr>
        <w:t xml:space="preserve"> presencia en el país.</w:t>
      </w:r>
    </w:p>
    <w:p w:rsidR="00ED2462" w:rsidRDefault="00ED2462" w:rsidP="00BA02DD">
      <w:pPr>
        <w:jc w:val="both"/>
        <w:rPr>
          <w:rFonts w:ascii="Arial" w:hAnsi="Arial" w:cs="Arial"/>
          <w:lang w:val="es-ES"/>
        </w:rPr>
      </w:pPr>
      <w:r>
        <w:rPr>
          <w:rFonts w:ascii="Arial" w:hAnsi="Arial" w:cs="Arial"/>
          <w:lang w:val="es-ES"/>
        </w:rPr>
        <w:t xml:space="preserve">Desde entonces, </w:t>
      </w:r>
      <w:r w:rsidR="00650585">
        <w:rPr>
          <w:rFonts w:ascii="Arial" w:hAnsi="Arial" w:cs="Arial"/>
          <w:lang w:val="es-ES"/>
        </w:rPr>
        <w:t>las consultorías en comunicación estratégica y relaciones públicas se han ido convirtiendo en un elemento indispensable en la gestión de un entorno favorable para los negocios y en un componente clave en la toma de decisiones de los equipos directivos de las empresas de todas las dimensiones en el país.</w:t>
      </w:r>
    </w:p>
    <w:p w:rsidR="00C0720A" w:rsidRPr="00C06D07" w:rsidRDefault="00C0720A" w:rsidP="00BA02DD">
      <w:pPr>
        <w:jc w:val="both"/>
        <w:rPr>
          <w:rFonts w:ascii="Arial" w:hAnsi="Arial" w:cs="Arial"/>
          <w:lang w:val="es-ES"/>
        </w:rPr>
      </w:pPr>
      <w:r w:rsidRPr="00C0720A">
        <w:rPr>
          <w:rFonts w:ascii="Arial" w:hAnsi="Arial" w:cs="Arial"/>
          <w:lang w:val="es-ES"/>
        </w:rPr>
        <w:t>Estimaciones de diversas fuentes indican que la comunicación es una de las actividades que más aportan a la economía del país (</w:t>
      </w:r>
      <w:r>
        <w:rPr>
          <w:rFonts w:ascii="Arial" w:hAnsi="Arial" w:cs="Arial"/>
          <w:lang w:val="es-ES"/>
        </w:rPr>
        <w:t>junto con</w:t>
      </w:r>
      <w:r w:rsidRPr="00C0720A">
        <w:rPr>
          <w:rFonts w:ascii="Arial" w:hAnsi="Arial" w:cs="Arial"/>
          <w:lang w:val="es-ES"/>
        </w:rPr>
        <w:t xml:space="preserve"> la publicidad, la mercadotecnia y las relaciones públicas)</w:t>
      </w:r>
      <w:r>
        <w:rPr>
          <w:rFonts w:ascii="Arial" w:hAnsi="Arial" w:cs="Arial"/>
          <w:lang w:val="es-ES"/>
        </w:rPr>
        <w:t xml:space="preserve"> contribuyendo </w:t>
      </w:r>
      <w:r w:rsidRPr="00C0720A">
        <w:rPr>
          <w:rFonts w:ascii="Arial" w:hAnsi="Arial" w:cs="Arial"/>
          <w:lang w:val="es-ES"/>
        </w:rPr>
        <w:t xml:space="preserve">al crecimiento del PIB en más del 10 por ciento </w:t>
      </w:r>
      <w:r>
        <w:rPr>
          <w:rFonts w:ascii="Arial" w:hAnsi="Arial" w:cs="Arial"/>
          <w:lang w:val="es-ES"/>
        </w:rPr>
        <w:t>e incentivando el</w:t>
      </w:r>
      <w:r w:rsidRPr="00C0720A">
        <w:rPr>
          <w:rFonts w:ascii="Arial" w:hAnsi="Arial" w:cs="Arial"/>
          <w:lang w:val="es-ES"/>
        </w:rPr>
        <w:t xml:space="preserve"> consumo privado en más del 15 por ciento.</w:t>
      </w:r>
      <w:r w:rsidR="00F14B56">
        <w:rPr>
          <w:rStyle w:val="Refdenotaalfinal"/>
          <w:rFonts w:ascii="Arial" w:hAnsi="Arial" w:cs="Arial"/>
          <w:lang w:val="es-ES"/>
        </w:rPr>
        <w:endnoteReference w:id="2"/>
      </w:r>
    </w:p>
    <w:p w:rsidR="00C06D07" w:rsidRDefault="00C06D07" w:rsidP="00BA02DD">
      <w:pPr>
        <w:jc w:val="both"/>
        <w:rPr>
          <w:rFonts w:ascii="Arial" w:hAnsi="Arial" w:cs="Arial"/>
          <w:b/>
          <w:lang w:val="es-ES"/>
        </w:rPr>
      </w:pPr>
    </w:p>
    <w:p w:rsidR="00C06D07" w:rsidRDefault="00C06D07" w:rsidP="00BA02DD">
      <w:pPr>
        <w:jc w:val="both"/>
        <w:rPr>
          <w:rFonts w:ascii="Arial" w:hAnsi="Arial" w:cs="Arial"/>
          <w:b/>
          <w:lang w:val="es-ES"/>
        </w:rPr>
      </w:pPr>
      <w:r>
        <w:rPr>
          <w:rFonts w:ascii="Arial" w:hAnsi="Arial" w:cs="Arial"/>
          <w:b/>
          <w:lang w:val="es-ES"/>
        </w:rPr>
        <w:t>Análisis Sectorial</w:t>
      </w:r>
    </w:p>
    <w:p w:rsidR="00C06D07" w:rsidRPr="006A16E4" w:rsidRDefault="00C06D07" w:rsidP="00C06D07">
      <w:pPr>
        <w:jc w:val="both"/>
        <w:rPr>
          <w:rFonts w:ascii="Arial" w:hAnsi="Arial" w:cs="Arial"/>
          <w:b/>
        </w:rPr>
      </w:pPr>
      <w:r w:rsidRPr="006A16E4">
        <w:rPr>
          <w:rFonts w:ascii="Arial" w:hAnsi="Arial" w:cs="Arial"/>
          <w:b/>
        </w:rPr>
        <w:t>El modelo de las cinco fuerzas</w:t>
      </w:r>
      <w:r w:rsidR="004A1772" w:rsidRPr="006A16E4">
        <w:rPr>
          <w:rFonts w:ascii="Arial" w:hAnsi="Arial" w:cs="Arial"/>
          <w:b/>
        </w:rPr>
        <w:t xml:space="preserve"> </w:t>
      </w:r>
    </w:p>
    <w:p w:rsidR="004A1772" w:rsidRPr="00991BDA" w:rsidRDefault="00C06D07" w:rsidP="00C06D07">
      <w:pPr>
        <w:jc w:val="both"/>
        <w:rPr>
          <w:rFonts w:ascii="Arial" w:hAnsi="Arial" w:cs="Arial"/>
          <w:b/>
          <w:i/>
          <w:lang w:val="es-ES"/>
        </w:rPr>
      </w:pPr>
      <w:r w:rsidRPr="00991BDA">
        <w:rPr>
          <w:rFonts w:ascii="Arial" w:hAnsi="Arial" w:cs="Arial"/>
          <w:b/>
          <w:i/>
          <w:lang w:val="es-ES"/>
        </w:rPr>
        <w:t>La intensidad de la competencia</w:t>
      </w:r>
    </w:p>
    <w:p w:rsidR="0009715E" w:rsidRDefault="004A1772" w:rsidP="00C06D07">
      <w:pPr>
        <w:jc w:val="both"/>
        <w:rPr>
          <w:rFonts w:ascii="Arial" w:hAnsi="Arial" w:cs="Arial"/>
          <w:lang w:val="es-ES"/>
        </w:rPr>
      </w:pPr>
      <w:r>
        <w:rPr>
          <w:rFonts w:ascii="Arial" w:hAnsi="Arial" w:cs="Arial"/>
          <w:lang w:val="es-ES"/>
        </w:rPr>
        <w:t xml:space="preserve">El sector de la consultoría en comunicación y relaciones públicas cuenta con numerosos competidores que se encuentran en a lo largo y ancho de la escala de desarrollo de la industria. </w:t>
      </w:r>
    </w:p>
    <w:p w:rsidR="00C06D07" w:rsidRDefault="004A1772" w:rsidP="00C06D07">
      <w:pPr>
        <w:jc w:val="both"/>
        <w:rPr>
          <w:rFonts w:ascii="Arial" w:hAnsi="Arial" w:cs="Arial"/>
          <w:lang w:val="es-ES"/>
        </w:rPr>
      </w:pPr>
      <w:r>
        <w:rPr>
          <w:rFonts w:ascii="Arial" w:hAnsi="Arial" w:cs="Arial"/>
          <w:lang w:val="es-ES"/>
        </w:rPr>
        <w:t>Tan sólo el ranking más importante del sector elaborado por la publicación Merca 2.0 consideró a 150 agencias dedicadas a este rubro en su valoración anual sin mencionar que diversas declaraciones de los principales directivos de dichas consultorías han hecho aproximaciones que ubican la existencia de al menos 250 consultorías en el país.</w:t>
      </w:r>
    </w:p>
    <w:p w:rsidR="004A1772" w:rsidRDefault="004A1772" w:rsidP="00C06D07">
      <w:pPr>
        <w:jc w:val="both"/>
        <w:rPr>
          <w:rFonts w:ascii="Arial" w:hAnsi="Arial" w:cs="Arial"/>
          <w:lang w:val="es-ES"/>
        </w:rPr>
      </w:pPr>
      <w:r>
        <w:rPr>
          <w:rFonts w:ascii="Arial" w:hAnsi="Arial" w:cs="Arial"/>
          <w:lang w:val="es-ES"/>
        </w:rPr>
        <w:t>La diversidad de los mismos es otro factor a resaltar en este análisis en el que figuran todo tipo de dimensiones, especialidades, equipos y enfoques en el abordaje de los servicios de este sector.</w:t>
      </w:r>
    </w:p>
    <w:p w:rsidR="00F14B56" w:rsidRDefault="00F14B56" w:rsidP="00C06D07">
      <w:pPr>
        <w:jc w:val="both"/>
        <w:rPr>
          <w:rFonts w:ascii="Arial" w:hAnsi="Arial" w:cs="Arial"/>
          <w:lang w:val="es-ES"/>
        </w:rPr>
      </w:pPr>
      <w:r>
        <w:rPr>
          <w:rFonts w:ascii="Arial" w:hAnsi="Arial" w:cs="Arial"/>
          <w:lang w:val="es-ES"/>
        </w:rPr>
        <w:t>Sin embargo, e</w:t>
      </w:r>
      <w:r w:rsidR="001D0DB4">
        <w:rPr>
          <w:rFonts w:ascii="Arial" w:hAnsi="Arial" w:cs="Arial"/>
          <w:lang w:val="es-ES"/>
        </w:rPr>
        <w:t xml:space="preserve">xiste una cúpula de consultorías de alto nivel que figuran regularmente en el top 10 de los rankings nacionales, mismas que son evaluadas generalmente en cuatro grandes </w:t>
      </w:r>
      <w:r w:rsidR="001D0DB4">
        <w:rPr>
          <w:rFonts w:ascii="Arial" w:hAnsi="Arial" w:cs="Arial"/>
          <w:lang w:val="es-ES"/>
        </w:rPr>
        <w:lastRenderedPageBreak/>
        <w:t>rubros como facturación, colaboradores, cuentas y métricas digitales, que usualmente son las concentradoras del negocio del sector.</w:t>
      </w:r>
    </w:p>
    <w:p w:rsidR="001D0DB4" w:rsidRDefault="001D0DB4" w:rsidP="00C06D07">
      <w:pPr>
        <w:jc w:val="both"/>
        <w:rPr>
          <w:rFonts w:ascii="Arial" w:hAnsi="Arial" w:cs="Arial"/>
          <w:lang w:val="es-ES"/>
        </w:rPr>
      </w:pPr>
      <w:r>
        <w:rPr>
          <w:noProof/>
        </w:rPr>
        <w:drawing>
          <wp:inline distT="0" distB="0" distL="0" distR="0" wp14:anchorId="565F8B47" wp14:editId="4CDFAC47">
            <wp:extent cx="5941060" cy="3901440"/>
            <wp:effectExtent l="0" t="0" r="254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1060" cy="3901440"/>
                    </a:xfrm>
                    <a:prstGeom prst="rect">
                      <a:avLst/>
                    </a:prstGeom>
                  </pic:spPr>
                </pic:pic>
              </a:graphicData>
            </a:graphic>
          </wp:inline>
        </w:drawing>
      </w:r>
    </w:p>
    <w:p w:rsidR="001D0DB4" w:rsidRPr="001D0DB4" w:rsidRDefault="001D0DB4" w:rsidP="00C06D07">
      <w:pPr>
        <w:jc w:val="both"/>
        <w:rPr>
          <w:rFonts w:ascii="Arial" w:hAnsi="Arial" w:cs="Arial"/>
          <w:sz w:val="16"/>
          <w:lang w:val="es-ES"/>
        </w:rPr>
      </w:pPr>
      <w:r w:rsidRPr="001D0DB4">
        <w:rPr>
          <w:rFonts w:ascii="Arial" w:hAnsi="Arial" w:cs="Arial"/>
          <w:sz w:val="16"/>
          <w:lang w:val="es-ES"/>
        </w:rPr>
        <w:t>Ranking 2018, Mejores Agencias de Relaciones Públicas en México Merca 2.0</w:t>
      </w:r>
    </w:p>
    <w:p w:rsidR="001D0DB4" w:rsidRDefault="001D0DB4" w:rsidP="00C06D07">
      <w:pPr>
        <w:jc w:val="both"/>
        <w:rPr>
          <w:rFonts w:ascii="Arial" w:hAnsi="Arial" w:cs="Arial"/>
          <w:lang w:val="es-ES"/>
        </w:rPr>
      </w:pPr>
      <w:r>
        <w:rPr>
          <w:rFonts w:ascii="Arial" w:hAnsi="Arial" w:cs="Arial"/>
          <w:lang w:val="es-ES"/>
        </w:rPr>
        <w:t>Como se podrá observar en el gráfico anterior, si bien existe una férrea batalla por mantenerse en este top, generalmente las grandes consultorías de comunicación y relaciones públicas raramente se mueven de esta cúpula, lo que indica que</w:t>
      </w:r>
      <w:r w:rsidR="00ED39B0">
        <w:rPr>
          <w:rFonts w:ascii="Arial" w:hAnsi="Arial" w:cs="Arial"/>
          <w:lang w:val="es-ES"/>
        </w:rPr>
        <w:t xml:space="preserve"> existen pocas posibilidades de entrada a nuevos competidores en este selecto grupo de negoci</w:t>
      </w:r>
      <w:r w:rsidR="001D1853">
        <w:rPr>
          <w:rFonts w:ascii="Arial" w:hAnsi="Arial" w:cs="Arial"/>
          <w:lang w:val="es-ES"/>
        </w:rPr>
        <w:t>o.</w:t>
      </w:r>
    </w:p>
    <w:p w:rsidR="001D1853" w:rsidRDefault="001D1853" w:rsidP="00C06D07">
      <w:pPr>
        <w:jc w:val="both"/>
        <w:rPr>
          <w:rFonts w:ascii="Arial" w:hAnsi="Arial" w:cs="Arial"/>
          <w:lang w:val="es-ES"/>
        </w:rPr>
      </w:pPr>
      <w:r>
        <w:rPr>
          <w:rFonts w:ascii="Arial" w:hAnsi="Arial" w:cs="Arial"/>
          <w:lang w:val="es-ES"/>
        </w:rPr>
        <w:t xml:space="preserve">El segmento anterior pudiera considerarse como competidores equilibrados, pero fuera del mismo existe una diversidad de competidores con distintas formas de entender el </w:t>
      </w:r>
      <w:proofErr w:type="gramStart"/>
      <w:r>
        <w:rPr>
          <w:rFonts w:ascii="Arial" w:hAnsi="Arial" w:cs="Arial"/>
          <w:lang w:val="es-ES"/>
        </w:rPr>
        <w:t>negocio</w:t>
      </w:r>
      <w:proofErr w:type="gramEnd"/>
      <w:r>
        <w:rPr>
          <w:rFonts w:ascii="Arial" w:hAnsi="Arial" w:cs="Arial"/>
          <w:lang w:val="es-ES"/>
        </w:rPr>
        <w:t xml:space="preserve"> aunque con poca incidencia en el mercado meta de este top.</w:t>
      </w:r>
    </w:p>
    <w:p w:rsidR="00984672" w:rsidRDefault="00984672" w:rsidP="00C06D07">
      <w:pPr>
        <w:jc w:val="both"/>
        <w:rPr>
          <w:rFonts w:ascii="Arial" w:hAnsi="Arial" w:cs="Arial"/>
          <w:lang w:val="es-ES"/>
        </w:rPr>
      </w:pPr>
      <w:r>
        <w:rPr>
          <w:rFonts w:ascii="Arial" w:hAnsi="Arial" w:cs="Arial"/>
          <w:lang w:val="es-ES"/>
        </w:rPr>
        <w:t xml:space="preserve">Entre </w:t>
      </w:r>
      <w:r w:rsidR="001D1853">
        <w:rPr>
          <w:rFonts w:ascii="Arial" w:hAnsi="Arial" w:cs="Arial"/>
          <w:lang w:val="es-ES"/>
        </w:rPr>
        <w:t>las consultorías líderes mencionadas</w:t>
      </w:r>
      <w:r>
        <w:rPr>
          <w:rFonts w:ascii="Arial" w:hAnsi="Arial" w:cs="Arial"/>
          <w:lang w:val="es-ES"/>
        </w:rPr>
        <w:t xml:space="preserve">, la oferta de servicios es relativamente similar, recorriendo varias especialidades del espectro de comunicación y relaciones públicas, basando sus ventajas principalmente en los profesionales que las </w:t>
      </w:r>
      <w:r w:rsidR="00E30208">
        <w:rPr>
          <w:rFonts w:ascii="Arial" w:hAnsi="Arial" w:cs="Arial"/>
          <w:lang w:val="es-ES"/>
        </w:rPr>
        <w:t>desarrollan,</w:t>
      </w:r>
      <w:r>
        <w:rPr>
          <w:rFonts w:ascii="Arial" w:hAnsi="Arial" w:cs="Arial"/>
          <w:lang w:val="es-ES"/>
        </w:rPr>
        <w:t xml:space="preserve"> así como el nivel de </w:t>
      </w:r>
      <w:r w:rsidR="00E30208">
        <w:rPr>
          <w:rFonts w:ascii="Arial" w:hAnsi="Arial" w:cs="Arial"/>
          <w:lang w:val="es-ES"/>
        </w:rPr>
        <w:t>cercanía que cada agencia mantiene con los canales de comunicación e influencia en el país.</w:t>
      </w:r>
    </w:p>
    <w:p w:rsidR="001D1853" w:rsidRDefault="001D1853" w:rsidP="00C06D07">
      <w:pPr>
        <w:jc w:val="both"/>
        <w:rPr>
          <w:rFonts w:ascii="Arial" w:hAnsi="Arial" w:cs="Arial"/>
          <w:lang w:val="es-ES"/>
        </w:rPr>
      </w:pPr>
      <w:r>
        <w:rPr>
          <w:rFonts w:ascii="Arial" w:hAnsi="Arial" w:cs="Arial"/>
          <w:lang w:val="es-ES"/>
        </w:rPr>
        <w:t xml:space="preserve">Cabe destacar que el </w:t>
      </w:r>
      <w:r w:rsidR="00EF3291">
        <w:rPr>
          <w:rFonts w:ascii="Arial" w:hAnsi="Arial" w:cs="Arial"/>
          <w:lang w:val="es-ES"/>
        </w:rPr>
        <w:t xml:space="preserve">entorno socioeconómico del país también influye en un crecimiento cauteloso del sector cuantitativamente hablando, con estimaciones a la </w:t>
      </w:r>
      <w:r w:rsidR="00EF3291" w:rsidRPr="00EF3291">
        <w:rPr>
          <w:rFonts w:ascii="Arial" w:hAnsi="Arial" w:cs="Arial"/>
          <w:lang w:val="es-ES"/>
        </w:rPr>
        <w:t xml:space="preserve">baja en </w:t>
      </w:r>
      <w:r w:rsidR="00EF3291">
        <w:rPr>
          <w:rFonts w:ascii="Arial" w:hAnsi="Arial" w:cs="Arial"/>
          <w:lang w:val="es-ES"/>
        </w:rPr>
        <w:t>la</w:t>
      </w:r>
      <w:r w:rsidR="00EF3291" w:rsidRPr="00EF3291">
        <w:rPr>
          <w:rFonts w:ascii="Arial" w:hAnsi="Arial" w:cs="Arial"/>
          <w:lang w:val="es-ES"/>
        </w:rPr>
        <w:t xml:space="preserve"> previsión de crecimiento económico para el país de 1.1 a 2.1% a un rango de 0.8 y 1.8%</w:t>
      </w:r>
      <w:r w:rsidR="00EF3291">
        <w:rPr>
          <w:rFonts w:ascii="Arial" w:hAnsi="Arial" w:cs="Arial"/>
          <w:lang w:val="es-ES"/>
        </w:rPr>
        <w:t xml:space="preserve">, fomentando el recorte de recursos para estrategias de comunicación lo que promueve la búsqueda de opciones </w:t>
      </w:r>
      <w:r w:rsidR="00EF3291">
        <w:rPr>
          <w:rFonts w:ascii="Arial" w:hAnsi="Arial" w:cs="Arial"/>
          <w:lang w:val="es-ES"/>
        </w:rPr>
        <w:lastRenderedPageBreak/>
        <w:t>más baratas que rara vez se encontrarán en la cúpula de las grandes consultoras. Al contrario, estas consultorías líderes entienden muy bien su valor en un contexto complejo como el que se vive en México, aunque sin duda alguna, esto incrementará la competencia ya que las organizaciones tendrán que ponderar entre sus variables, el presupuesto con el que cuentan como un aspecto crucial en su toma de decisiones.</w:t>
      </w:r>
    </w:p>
    <w:p w:rsidR="00EF3291" w:rsidRDefault="00EF3291" w:rsidP="00C06D07">
      <w:pPr>
        <w:jc w:val="both"/>
        <w:rPr>
          <w:rFonts w:ascii="Arial" w:hAnsi="Arial" w:cs="Arial"/>
          <w:lang w:val="es-ES"/>
        </w:rPr>
      </w:pPr>
      <w:r>
        <w:rPr>
          <w:rFonts w:ascii="Arial" w:hAnsi="Arial" w:cs="Arial"/>
          <w:lang w:val="es-ES"/>
        </w:rPr>
        <w:t>Por otro lado, se encuentra la inexistencia de barreras altas de salida por lo que existe una gran facilidad para la disolución de agencias de comunicación y la incursión de nuevas organizaciones dedicadas a esta actividad, incrementando la competencia entre consultorías de las mismas dimensiones y relativas similitudes.</w:t>
      </w:r>
    </w:p>
    <w:p w:rsidR="00EF3291" w:rsidRDefault="00EF3291" w:rsidP="00C06D07">
      <w:pPr>
        <w:jc w:val="both"/>
        <w:rPr>
          <w:rFonts w:ascii="Arial" w:hAnsi="Arial" w:cs="Arial"/>
          <w:lang w:val="es-ES"/>
        </w:rPr>
      </w:pPr>
    </w:p>
    <w:p w:rsidR="00C06D07" w:rsidRPr="00991BDA" w:rsidRDefault="00C06D07" w:rsidP="00C06D07">
      <w:pPr>
        <w:jc w:val="both"/>
        <w:rPr>
          <w:rFonts w:ascii="Arial" w:hAnsi="Arial" w:cs="Arial"/>
          <w:b/>
          <w:i/>
          <w:lang w:val="es-ES"/>
        </w:rPr>
      </w:pPr>
      <w:r w:rsidRPr="00991BDA">
        <w:rPr>
          <w:rFonts w:ascii="Arial" w:hAnsi="Arial" w:cs="Arial"/>
          <w:b/>
          <w:i/>
          <w:lang w:val="es-ES"/>
        </w:rPr>
        <w:t>Los competidores potenciales (barreras de entrada)</w:t>
      </w:r>
    </w:p>
    <w:p w:rsidR="008F6DF3" w:rsidRDefault="008F6DF3" w:rsidP="00C06D07">
      <w:pPr>
        <w:jc w:val="both"/>
        <w:rPr>
          <w:rFonts w:ascii="Arial" w:hAnsi="Arial" w:cs="Arial"/>
          <w:lang w:val="es-ES"/>
        </w:rPr>
      </w:pPr>
      <w:r>
        <w:rPr>
          <w:rFonts w:ascii="Arial" w:hAnsi="Arial" w:cs="Arial"/>
          <w:lang w:val="es-ES"/>
        </w:rPr>
        <w:t>Si bien se observa un aumento en la aparición de nuevos competidores a lo largo de los años, se debe observar que el proceso de madurez que está alcanzando el sector en términos de especialización y relevancia ha delimitado barreras de entrada al negocio de las grandes empresas.</w:t>
      </w:r>
    </w:p>
    <w:p w:rsidR="00E30208" w:rsidRDefault="00E30208" w:rsidP="00C06D07">
      <w:pPr>
        <w:jc w:val="both"/>
        <w:rPr>
          <w:rFonts w:ascii="Arial" w:hAnsi="Arial" w:cs="Arial"/>
          <w:lang w:val="es-ES"/>
        </w:rPr>
      </w:pPr>
      <w:r>
        <w:rPr>
          <w:rFonts w:ascii="Arial" w:hAnsi="Arial" w:cs="Arial"/>
          <w:lang w:val="es-ES"/>
        </w:rPr>
        <w:t>Son estas últimas las que en su mayoría optan por consultorías internacionales bajo la creencia de que poseen mayor experiencia y mejores capacidades para atender la reputación corporativa de las organizaciones al crecer la conciencia sobre la sensibilidad y relevancia de la gestión de la comunicación para los resultados de negocio de las compañías.</w:t>
      </w:r>
    </w:p>
    <w:p w:rsidR="008F6DF3" w:rsidRDefault="00E30208" w:rsidP="00C06D07">
      <w:pPr>
        <w:jc w:val="both"/>
        <w:rPr>
          <w:rFonts w:ascii="Arial" w:hAnsi="Arial" w:cs="Arial"/>
          <w:lang w:val="es-ES"/>
        </w:rPr>
      </w:pPr>
      <w:r>
        <w:rPr>
          <w:rFonts w:ascii="Arial" w:hAnsi="Arial" w:cs="Arial"/>
          <w:lang w:val="es-ES"/>
        </w:rPr>
        <w:t>Además, c</w:t>
      </w:r>
      <w:r w:rsidR="008F6DF3">
        <w:rPr>
          <w:rFonts w:ascii="Arial" w:hAnsi="Arial" w:cs="Arial"/>
          <w:lang w:val="es-ES"/>
        </w:rPr>
        <w:t xml:space="preserve">on frecuencia dichas empresas tienen necesidades globales o regionales que solo pueden ser atendidas por consultorías con una red de operaciones internacional y un grado de </w:t>
      </w:r>
      <w:proofErr w:type="spellStart"/>
      <w:r w:rsidR="008F6DF3" w:rsidRPr="00611CF4">
        <w:rPr>
          <w:rFonts w:ascii="Arial" w:hAnsi="Arial" w:cs="Arial"/>
          <w:i/>
          <w:lang w:val="es-ES"/>
        </w:rPr>
        <w:t>expertise</w:t>
      </w:r>
      <w:proofErr w:type="spellEnd"/>
      <w:r w:rsidR="008F6DF3">
        <w:rPr>
          <w:rFonts w:ascii="Arial" w:hAnsi="Arial" w:cs="Arial"/>
          <w:lang w:val="es-ES"/>
        </w:rPr>
        <w:t xml:space="preserve"> más alto que cualquiera de los nuevos jugadores del mercado.</w:t>
      </w:r>
      <w:r>
        <w:rPr>
          <w:rFonts w:ascii="Arial" w:hAnsi="Arial" w:cs="Arial"/>
          <w:lang w:val="es-ES"/>
        </w:rPr>
        <w:t xml:space="preserve"> Por lo que en muchas ocasiones las barreras de entrada son impuestas más por el cliente (aunque orientado por las grandes consultorías) que por la competencia misma.</w:t>
      </w:r>
    </w:p>
    <w:p w:rsidR="008F6DF3" w:rsidRDefault="008F6DF3" w:rsidP="00C06D07">
      <w:pPr>
        <w:jc w:val="both"/>
        <w:rPr>
          <w:rFonts w:ascii="Arial" w:hAnsi="Arial" w:cs="Arial"/>
          <w:lang w:val="es-ES"/>
        </w:rPr>
      </w:pPr>
      <w:r>
        <w:rPr>
          <w:rFonts w:ascii="Arial" w:hAnsi="Arial" w:cs="Arial"/>
          <w:lang w:val="es-ES"/>
        </w:rPr>
        <w:t>Sin embargo, a medida que avanza este proceso de evolución que se mencionaba en párrafos anteriores, las empresas nacientes han ido identificando nuevos nichos de oportunidad adaptando su oferta en función de las necesidades del cliente con mucho mayor celeridad que las compañías grandes, lo que les ha otorgado una ventaja competitiva en aquellas compañías más orientadas a la táctica y no a la estrategia.</w:t>
      </w:r>
    </w:p>
    <w:p w:rsidR="00E30208" w:rsidRDefault="00E30208" w:rsidP="00C06D07">
      <w:pPr>
        <w:jc w:val="both"/>
        <w:rPr>
          <w:rFonts w:ascii="Arial" w:hAnsi="Arial" w:cs="Arial"/>
          <w:b/>
          <w:i/>
          <w:lang w:val="es-ES"/>
        </w:rPr>
      </w:pPr>
    </w:p>
    <w:p w:rsidR="00C06D07" w:rsidRPr="00991BDA" w:rsidRDefault="00C06D07" w:rsidP="00C06D07">
      <w:pPr>
        <w:jc w:val="both"/>
        <w:rPr>
          <w:rFonts w:ascii="Arial" w:hAnsi="Arial" w:cs="Arial"/>
          <w:b/>
          <w:i/>
          <w:lang w:val="es-ES"/>
        </w:rPr>
      </w:pPr>
      <w:r w:rsidRPr="00991BDA">
        <w:rPr>
          <w:rFonts w:ascii="Arial" w:hAnsi="Arial" w:cs="Arial"/>
          <w:b/>
          <w:i/>
          <w:lang w:val="es-ES"/>
        </w:rPr>
        <w:t>Los productos/servicios sustitutivos.</w:t>
      </w:r>
    </w:p>
    <w:p w:rsidR="008F6DF3" w:rsidRDefault="008F6DF3" w:rsidP="00C06D07">
      <w:pPr>
        <w:jc w:val="both"/>
        <w:rPr>
          <w:rFonts w:ascii="Arial" w:hAnsi="Arial" w:cs="Arial"/>
          <w:lang w:val="es-ES"/>
        </w:rPr>
      </w:pPr>
      <w:r>
        <w:rPr>
          <w:rFonts w:ascii="Arial" w:hAnsi="Arial" w:cs="Arial"/>
          <w:lang w:val="es-ES"/>
        </w:rPr>
        <w:t>En este mismo orde</w:t>
      </w:r>
      <w:r w:rsidR="00991BDA">
        <w:rPr>
          <w:rFonts w:ascii="Arial" w:hAnsi="Arial" w:cs="Arial"/>
          <w:lang w:val="es-ES"/>
        </w:rPr>
        <w:t>n de ideas, el aumento en la visibilidad de la relevancia que la reputación tiene para los negocios ha propiciado el nacimiento de múltiples jugadores en el ámbito de la comunicación que ofrecen un portafolio similar de servicios.</w:t>
      </w:r>
    </w:p>
    <w:p w:rsidR="00991BDA" w:rsidRPr="00C06D07" w:rsidRDefault="00991BDA" w:rsidP="00C06D07">
      <w:pPr>
        <w:jc w:val="both"/>
        <w:rPr>
          <w:rFonts w:ascii="Arial" w:hAnsi="Arial" w:cs="Arial"/>
          <w:lang w:val="es-ES"/>
        </w:rPr>
      </w:pPr>
      <w:r>
        <w:rPr>
          <w:rFonts w:ascii="Arial" w:hAnsi="Arial" w:cs="Arial"/>
          <w:lang w:val="es-ES"/>
        </w:rPr>
        <w:t xml:space="preserve">A medida que avanza la profesionalización de la disciplina en el país, la demanda se ido especializando hacia soluciones más específicas dependiendo de las necesidades de la </w:t>
      </w:r>
      <w:r>
        <w:rPr>
          <w:rFonts w:ascii="Arial" w:hAnsi="Arial" w:cs="Arial"/>
          <w:lang w:val="es-ES"/>
        </w:rPr>
        <w:lastRenderedPageBreak/>
        <w:t>empresa, sin embargo, aún existen múltiples posiciones dentro de las organizaciones que atienden una multiplicidad de temas sin ser expertos en cada uno de ellos, por lo que tienden a englobar en la generalidad de la comunicación otro tipo de requerimientos, mismos que a veces son atendidos por las agencias a fin de mantener al cliente, sin contar con la experiencia necesaria para su gestión.</w:t>
      </w:r>
    </w:p>
    <w:p w:rsidR="00E30208" w:rsidRDefault="00E30208" w:rsidP="00C06D07">
      <w:pPr>
        <w:jc w:val="both"/>
        <w:rPr>
          <w:rFonts w:ascii="Arial" w:hAnsi="Arial" w:cs="Arial"/>
          <w:b/>
          <w:i/>
          <w:lang w:val="es-ES"/>
        </w:rPr>
      </w:pPr>
    </w:p>
    <w:p w:rsidR="00C06D07" w:rsidRDefault="00C06D07" w:rsidP="00C06D07">
      <w:pPr>
        <w:jc w:val="both"/>
        <w:rPr>
          <w:rFonts w:ascii="Arial" w:hAnsi="Arial" w:cs="Arial"/>
          <w:b/>
          <w:i/>
          <w:lang w:val="es-ES"/>
        </w:rPr>
      </w:pPr>
      <w:r w:rsidRPr="00991BDA">
        <w:rPr>
          <w:rFonts w:ascii="Arial" w:hAnsi="Arial" w:cs="Arial"/>
          <w:b/>
          <w:i/>
          <w:lang w:val="es-ES"/>
        </w:rPr>
        <w:t>El poder negociador de clientes (y canales de distribución si los hay)</w:t>
      </w:r>
    </w:p>
    <w:p w:rsidR="00991BDA" w:rsidRPr="00991BDA" w:rsidRDefault="00991BDA" w:rsidP="00C06D07">
      <w:pPr>
        <w:jc w:val="both"/>
        <w:rPr>
          <w:rFonts w:ascii="Arial" w:hAnsi="Arial" w:cs="Arial"/>
          <w:lang w:val="es-ES"/>
        </w:rPr>
      </w:pPr>
      <w:r w:rsidRPr="00991BDA">
        <w:rPr>
          <w:rFonts w:ascii="Arial" w:hAnsi="Arial" w:cs="Arial"/>
          <w:lang w:val="es-ES"/>
        </w:rPr>
        <w:t>El poder negociador de los clientes en México está determinado principalmente por dos variables:</w:t>
      </w:r>
    </w:p>
    <w:p w:rsidR="00991BDA" w:rsidRPr="00991BDA" w:rsidRDefault="00991BDA" w:rsidP="00991BDA">
      <w:pPr>
        <w:pStyle w:val="Prrafodelista"/>
        <w:numPr>
          <w:ilvl w:val="0"/>
          <w:numId w:val="10"/>
        </w:numPr>
        <w:jc w:val="both"/>
        <w:rPr>
          <w:rFonts w:ascii="Arial" w:hAnsi="Arial" w:cs="Arial"/>
          <w:lang w:val="es-ES"/>
        </w:rPr>
      </w:pPr>
      <w:r w:rsidRPr="00991BDA">
        <w:rPr>
          <w:rFonts w:ascii="Arial" w:hAnsi="Arial" w:cs="Arial"/>
          <w:lang w:val="es-ES"/>
        </w:rPr>
        <w:t>Tamaño de la organización</w:t>
      </w:r>
    </w:p>
    <w:p w:rsidR="00991BDA" w:rsidRDefault="00991BDA" w:rsidP="00991BDA">
      <w:pPr>
        <w:pStyle w:val="Prrafodelista"/>
        <w:numPr>
          <w:ilvl w:val="0"/>
          <w:numId w:val="10"/>
        </w:numPr>
        <w:jc w:val="both"/>
        <w:rPr>
          <w:rFonts w:ascii="Arial" w:hAnsi="Arial" w:cs="Arial"/>
          <w:lang w:val="es-ES"/>
        </w:rPr>
      </w:pPr>
      <w:r w:rsidRPr="00991BDA">
        <w:rPr>
          <w:rFonts w:ascii="Arial" w:hAnsi="Arial" w:cs="Arial"/>
          <w:lang w:val="es-ES"/>
        </w:rPr>
        <w:t>Necesidades de la organización</w:t>
      </w:r>
    </w:p>
    <w:p w:rsidR="00991BDA" w:rsidRDefault="00991BDA" w:rsidP="00991BDA">
      <w:pPr>
        <w:jc w:val="both"/>
        <w:rPr>
          <w:rFonts w:ascii="Arial" w:hAnsi="Arial" w:cs="Arial"/>
          <w:lang w:val="es-ES"/>
        </w:rPr>
      </w:pPr>
      <w:r>
        <w:rPr>
          <w:rFonts w:ascii="Arial" w:hAnsi="Arial" w:cs="Arial"/>
          <w:lang w:val="es-ES"/>
        </w:rPr>
        <w:t xml:space="preserve">En la </w:t>
      </w:r>
      <w:r w:rsidR="00611CF4">
        <w:rPr>
          <w:rFonts w:ascii="Arial" w:hAnsi="Arial" w:cs="Arial"/>
          <w:lang w:val="es-ES"/>
        </w:rPr>
        <w:t>primera variable</w:t>
      </w:r>
      <w:r>
        <w:rPr>
          <w:rFonts w:ascii="Arial" w:hAnsi="Arial" w:cs="Arial"/>
          <w:lang w:val="es-ES"/>
        </w:rPr>
        <w:t xml:space="preserve"> es notorio el nivel de negociación que una organización posee en relación directa con su relevancia, notoriedad y poderío económico en el mercado ya que, generalmente son compañías que tienen un portafolio de opciones muy alto para elegir socios de negocio</w:t>
      </w:r>
      <w:r w:rsidR="00611CF4">
        <w:rPr>
          <w:rFonts w:ascii="Arial" w:hAnsi="Arial" w:cs="Arial"/>
          <w:lang w:val="es-ES"/>
        </w:rPr>
        <w:t>.</w:t>
      </w:r>
    </w:p>
    <w:p w:rsidR="00611CF4" w:rsidRDefault="00611CF4" w:rsidP="00991BDA">
      <w:pPr>
        <w:jc w:val="both"/>
        <w:rPr>
          <w:rFonts w:ascii="Arial" w:hAnsi="Arial" w:cs="Arial"/>
          <w:lang w:val="es-ES"/>
        </w:rPr>
      </w:pPr>
      <w:r>
        <w:rPr>
          <w:rFonts w:ascii="Arial" w:hAnsi="Arial" w:cs="Arial"/>
          <w:lang w:val="es-ES"/>
        </w:rPr>
        <w:t>Además, dicha reputación también fortalece la importancia de las consultorías que los tienen como clientes, incluso como un imán de nuevos negocios por lo que hay ponderaciones más allá de lo económico que las consultorías valoran en el momento de negociar con grandes empresas.</w:t>
      </w:r>
    </w:p>
    <w:p w:rsidR="00611CF4" w:rsidRDefault="00611CF4" w:rsidP="00991BDA">
      <w:pPr>
        <w:jc w:val="both"/>
        <w:rPr>
          <w:rFonts w:ascii="Arial" w:hAnsi="Arial" w:cs="Arial"/>
          <w:lang w:val="es-ES"/>
        </w:rPr>
      </w:pPr>
      <w:r>
        <w:rPr>
          <w:rFonts w:ascii="Arial" w:hAnsi="Arial" w:cs="Arial"/>
          <w:lang w:val="es-ES"/>
        </w:rPr>
        <w:t xml:space="preserve">El segundo rubro responde a la especificidad de las necesidades de la organización, </w:t>
      </w:r>
      <w:proofErr w:type="gramStart"/>
      <w:r>
        <w:rPr>
          <w:rFonts w:ascii="Arial" w:hAnsi="Arial" w:cs="Arial"/>
          <w:lang w:val="es-ES"/>
        </w:rPr>
        <w:t>ya que</w:t>
      </w:r>
      <w:proofErr w:type="gramEnd"/>
      <w:r>
        <w:rPr>
          <w:rFonts w:ascii="Arial" w:hAnsi="Arial" w:cs="Arial"/>
          <w:lang w:val="es-ES"/>
        </w:rPr>
        <w:t xml:space="preserve"> si sus requerimientos son muy particulares, existirá una oferta muy limitada de consultorías que puedan satisfacerlos. Lo que probablemente las orillará a tener mayor flexibilidad en su negociación a fin de aprovechar las opciones disponibles en el mercado.</w:t>
      </w:r>
    </w:p>
    <w:p w:rsidR="00E30208" w:rsidRDefault="00E30208" w:rsidP="00C06D07">
      <w:pPr>
        <w:jc w:val="both"/>
        <w:rPr>
          <w:rFonts w:ascii="Arial" w:hAnsi="Arial" w:cs="Arial"/>
          <w:lang w:val="es-ES"/>
        </w:rPr>
      </w:pPr>
    </w:p>
    <w:p w:rsidR="00C06D07" w:rsidRPr="00611CF4" w:rsidRDefault="00C06D07" w:rsidP="00C06D07">
      <w:pPr>
        <w:jc w:val="both"/>
        <w:rPr>
          <w:rFonts w:ascii="Arial" w:hAnsi="Arial" w:cs="Arial"/>
          <w:b/>
          <w:i/>
          <w:lang w:val="es-ES"/>
        </w:rPr>
      </w:pPr>
      <w:r w:rsidRPr="00611CF4">
        <w:rPr>
          <w:rFonts w:ascii="Arial" w:hAnsi="Arial" w:cs="Arial"/>
          <w:b/>
          <w:i/>
          <w:lang w:val="es-ES"/>
        </w:rPr>
        <w:t>El poder negociador de proveedores.</w:t>
      </w:r>
    </w:p>
    <w:p w:rsidR="00C06D07" w:rsidRDefault="006E3D3B" w:rsidP="00C06D07">
      <w:pPr>
        <w:jc w:val="both"/>
        <w:rPr>
          <w:rFonts w:ascii="Arial" w:hAnsi="Arial" w:cs="Arial"/>
          <w:lang w:val="es-ES"/>
        </w:rPr>
      </w:pPr>
      <w:r>
        <w:rPr>
          <w:rFonts w:ascii="Arial" w:hAnsi="Arial" w:cs="Arial"/>
          <w:lang w:val="es-ES"/>
        </w:rPr>
        <w:t>Con el avance de la especialización en el sector, el sistema de proveeduría relacionado también ha sido forzado a evolucionar con el mismo por lo que han surgido también nuevos actores en la oferta de servicios necesarios para desarrollar la labor de comunicación y relaciones públicas.</w:t>
      </w:r>
    </w:p>
    <w:p w:rsidR="006E3D3B" w:rsidRDefault="006E3D3B" w:rsidP="00C06D07">
      <w:pPr>
        <w:jc w:val="both"/>
        <w:rPr>
          <w:rFonts w:ascii="Arial" w:hAnsi="Arial" w:cs="Arial"/>
          <w:lang w:val="es-ES"/>
        </w:rPr>
      </w:pPr>
      <w:r>
        <w:rPr>
          <w:rFonts w:ascii="Arial" w:hAnsi="Arial" w:cs="Arial"/>
          <w:lang w:val="es-ES"/>
        </w:rPr>
        <w:t>Si bien existen proveedores que podrían denominarse más o menos generales como aquellos que brindar servicios a todo tipo de empresas, hay otros que se han forjado y crecido de la mano del desarrollo del sector.</w:t>
      </w:r>
    </w:p>
    <w:p w:rsidR="006E3D3B" w:rsidRDefault="006E3D3B" w:rsidP="00C06D07">
      <w:pPr>
        <w:jc w:val="both"/>
        <w:rPr>
          <w:rFonts w:ascii="Arial" w:hAnsi="Arial" w:cs="Arial"/>
          <w:lang w:val="es-ES"/>
        </w:rPr>
      </w:pPr>
      <w:r>
        <w:rPr>
          <w:rFonts w:ascii="Arial" w:hAnsi="Arial" w:cs="Arial"/>
          <w:lang w:val="es-ES"/>
        </w:rPr>
        <w:t xml:space="preserve">Por ejemplo, está el caso de los servicios de monitoreo que si bien </w:t>
      </w:r>
      <w:r w:rsidR="0009715E">
        <w:rPr>
          <w:rFonts w:ascii="Arial" w:hAnsi="Arial" w:cs="Arial"/>
          <w:lang w:val="es-ES"/>
        </w:rPr>
        <w:t>e</w:t>
      </w:r>
      <w:r w:rsidR="0009715E" w:rsidRPr="0009715E">
        <w:rPr>
          <w:rFonts w:ascii="Arial" w:hAnsi="Arial" w:cs="Arial"/>
          <w:lang w:val="es-ES"/>
        </w:rPr>
        <w:t xml:space="preserve">n la nación mexicana, la mayoría de las compañías solicita </w:t>
      </w:r>
      <w:r w:rsidR="0009715E">
        <w:rPr>
          <w:rFonts w:ascii="Arial" w:hAnsi="Arial" w:cs="Arial"/>
          <w:lang w:val="es-ES"/>
        </w:rPr>
        <w:t>los</w:t>
      </w:r>
      <w:r w:rsidR="0009715E" w:rsidRPr="0009715E">
        <w:rPr>
          <w:rFonts w:ascii="Arial" w:hAnsi="Arial" w:cs="Arial"/>
          <w:lang w:val="es-ES"/>
        </w:rPr>
        <w:t xml:space="preserve"> servicios </w:t>
      </w:r>
      <w:r w:rsidR="0009715E">
        <w:rPr>
          <w:rFonts w:ascii="Arial" w:hAnsi="Arial" w:cs="Arial"/>
          <w:lang w:val="es-ES"/>
        </w:rPr>
        <w:t xml:space="preserve">de las consultorías de comunicación </w:t>
      </w:r>
      <w:r w:rsidR="0009715E" w:rsidRPr="0009715E">
        <w:rPr>
          <w:rFonts w:ascii="Arial" w:hAnsi="Arial" w:cs="Arial"/>
          <w:lang w:val="es-ES"/>
        </w:rPr>
        <w:t>para monitoreo de medios, impresos (23.2 por ciento) y audiovisuales (22.6 por ciento)</w:t>
      </w:r>
      <w:r w:rsidR="00080D6D">
        <w:rPr>
          <w:rStyle w:val="Refdenotaalfinal"/>
          <w:rFonts w:ascii="Arial" w:hAnsi="Arial" w:cs="Arial"/>
          <w:lang w:val="es-ES"/>
        </w:rPr>
        <w:endnoteReference w:id="3"/>
      </w:r>
      <w:r w:rsidR="00080D6D">
        <w:rPr>
          <w:rFonts w:ascii="Arial" w:hAnsi="Arial" w:cs="Arial"/>
          <w:lang w:val="es-ES"/>
        </w:rPr>
        <w:t xml:space="preserve"> </w:t>
      </w:r>
      <w:r>
        <w:rPr>
          <w:rFonts w:ascii="Arial" w:hAnsi="Arial" w:cs="Arial"/>
          <w:lang w:val="es-ES"/>
        </w:rPr>
        <w:t xml:space="preserve">no encuentran con barreras absolutas en su ámbito que </w:t>
      </w:r>
      <w:proofErr w:type="gramStart"/>
      <w:r>
        <w:rPr>
          <w:rFonts w:ascii="Arial" w:hAnsi="Arial" w:cs="Arial"/>
          <w:lang w:val="es-ES"/>
        </w:rPr>
        <w:t>le</w:t>
      </w:r>
      <w:proofErr w:type="gramEnd"/>
      <w:r>
        <w:rPr>
          <w:rFonts w:ascii="Arial" w:hAnsi="Arial" w:cs="Arial"/>
          <w:lang w:val="es-ES"/>
        </w:rPr>
        <w:t xml:space="preserve"> imposibiliten el acceso a nuevos competidores la entrada al mismo.</w:t>
      </w:r>
    </w:p>
    <w:p w:rsidR="006E3D3B" w:rsidRDefault="006E3D3B" w:rsidP="00C06D07">
      <w:pPr>
        <w:jc w:val="both"/>
        <w:rPr>
          <w:rFonts w:ascii="Arial" w:hAnsi="Arial" w:cs="Arial"/>
          <w:lang w:val="es-ES"/>
        </w:rPr>
      </w:pPr>
      <w:r>
        <w:rPr>
          <w:rFonts w:ascii="Arial" w:hAnsi="Arial" w:cs="Arial"/>
          <w:lang w:val="es-ES"/>
        </w:rPr>
        <w:t>Por lo anterior, el poder de negociador de los proveedores no es significativamente alto en comparación con la producción de otros bienes o servicios.</w:t>
      </w:r>
    </w:p>
    <w:p w:rsidR="00C06D07" w:rsidRDefault="00C06D07" w:rsidP="00C06D07">
      <w:pPr>
        <w:jc w:val="both"/>
        <w:rPr>
          <w:rFonts w:ascii="Arial" w:hAnsi="Arial" w:cs="Arial"/>
          <w:lang w:val="es-ES"/>
        </w:rPr>
      </w:pPr>
    </w:p>
    <w:p w:rsidR="006E3D3B" w:rsidRPr="00984672" w:rsidRDefault="00C06D07" w:rsidP="006E3D3B">
      <w:pPr>
        <w:jc w:val="both"/>
        <w:rPr>
          <w:rFonts w:ascii="Arial" w:hAnsi="Arial" w:cs="Arial"/>
          <w:b/>
          <w:lang w:val="es-ES"/>
        </w:rPr>
      </w:pPr>
      <w:r w:rsidRPr="00984672">
        <w:rPr>
          <w:rFonts w:ascii="Arial" w:hAnsi="Arial" w:cs="Arial"/>
          <w:b/>
          <w:lang w:val="es-ES"/>
        </w:rPr>
        <w:t>Nuevas Fuerzas</w:t>
      </w:r>
    </w:p>
    <w:p w:rsidR="00C06D07" w:rsidRDefault="00C06D07" w:rsidP="006E3D3B">
      <w:pPr>
        <w:jc w:val="both"/>
        <w:rPr>
          <w:rFonts w:ascii="Arial" w:hAnsi="Arial" w:cs="Arial"/>
          <w:b/>
          <w:i/>
        </w:rPr>
      </w:pPr>
      <w:r w:rsidRPr="006E3D3B">
        <w:rPr>
          <w:rFonts w:ascii="Arial" w:hAnsi="Arial" w:cs="Arial"/>
          <w:b/>
          <w:i/>
        </w:rPr>
        <w:t>Digitalización</w:t>
      </w:r>
    </w:p>
    <w:p w:rsidR="006E3D3B" w:rsidRDefault="00B91FB9" w:rsidP="006E3D3B">
      <w:pPr>
        <w:jc w:val="both"/>
        <w:rPr>
          <w:rFonts w:ascii="Arial" w:hAnsi="Arial" w:cs="Arial"/>
          <w:lang w:val="es-ES"/>
        </w:rPr>
      </w:pPr>
      <w:r>
        <w:rPr>
          <w:rFonts w:ascii="Arial" w:hAnsi="Arial" w:cs="Arial"/>
          <w:lang w:val="es-ES"/>
        </w:rPr>
        <w:t xml:space="preserve">La digitalización es un elemento que ha impactado ampliamente en los entregables y mecanismos para diseñar la oferta de soluciones de cada consultoría, especialmente en aquellas que cuentan con un </w:t>
      </w:r>
      <w:proofErr w:type="spellStart"/>
      <w:r>
        <w:rPr>
          <w:rFonts w:ascii="Arial" w:hAnsi="Arial" w:cs="Arial"/>
          <w:lang w:val="es-ES"/>
        </w:rPr>
        <w:t>expertise</w:t>
      </w:r>
      <w:proofErr w:type="spellEnd"/>
      <w:r>
        <w:rPr>
          <w:rFonts w:ascii="Arial" w:hAnsi="Arial" w:cs="Arial"/>
          <w:lang w:val="es-ES"/>
        </w:rPr>
        <w:t xml:space="preserve"> determinado en el campo.</w:t>
      </w:r>
    </w:p>
    <w:p w:rsidR="00B91FB9" w:rsidRDefault="00B91FB9" w:rsidP="006E3D3B">
      <w:pPr>
        <w:jc w:val="both"/>
        <w:rPr>
          <w:rFonts w:ascii="Arial" w:hAnsi="Arial" w:cs="Arial"/>
          <w:lang w:val="es-ES"/>
        </w:rPr>
      </w:pPr>
      <w:r>
        <w:rPr>
          <w:rFonts w:ascii="Arial" w:hAnsi="Arial" w:cs="Arial"/>
          <w:lang w:val="es-ES"/>
        </w:rPr>
        <w:t>Por ejemplo, cada vez es más común encontrar una gestión unificada de los “diferentes” tipos de comunicación que se identificaban hace algunos años como comunicación, interna, externa, offline y online, por lo que sus necesidades incluyen la administración de plataformas electrónicas como parte de su estrategia de posicionamiento, por lo que aquellas consultorías que cuenten con mayores herramientas y capacidades digitales son las que obtienen un mayor diferenciador en su oferta para este tipo de clientes.</w:t>
      </w:r>
    </w:p>
    <w:p w:rsidR="00B91FB9" w:rsidRDefault="00B91FB9" w:rsidP="006E3D3B">
      <w:pPr>
        <w:jc w:val="both"/>
        <w:rPr>
          <w:rFonts w:ascii="Arial" w:hAnsi="Arial" w:cs="Arial"/>
          <w:lang w:val="es-ES"/>
        </w:rPr>
      </w:pPr>
      <w:r>
        <w:rPr>
          <w:rFonts w:ascii="Arial" w:hAnsi="Arial" w:cs="Arial"/>
          <w:lang w:val="es-ES"/>
        </w:rPr>
        <w:t xml:space="preserve">Cabe destacar también, que el entorno actual y la manera de hacer negocios hoy en día están demandando de manera más </w:t>
      </w:r>
      <w:r w:rsidR="00E83CD2">
        <w:rPr>
          <w:rFonts w:ascii="Arial" w:hAnsi="Arial" w:cs="Arial"/>
          <w:lang w:val="es-ES"/>
        </w:rPr>
        <w:t>intensiva el uso de tecnologías que favorezcan la comunicación entre los equipos y si ello se suma a que hay un crecimiento en la gestión regional de la comunicación, este apartado se vuelve primordial para favorecer la diferenciación de unas consultorías frente a otras sin la infraestructura necesaria.</w:t>
      </w:r>
    </w:p>
    <w:p w:rsidR="006A16E4" w:rsidRDefault="006A16E4" w:rsidP="006E3D3B">
      <w:pPr>
        <w:jc w:val="both"/>
        <w:rPr>
          <w:rFonts w:ascii="Arial" w:hAnsi="Arial" w:cs="Arial"/>
          <w:lang w:val="es-ES"/>
        </w:rPr>
      </w:pPr>
      <w:r>
        <w:rPr>
          <w:rFonts w:ascii="Arial" w:hAnsi="Arial" w:cs="Arial"/>
          <w:lang w:val="es-ES"/>
        </w:rPr>
        <w:t xml:space="preserve">Este apartado cobra vital relevancia cuando la gestión de la comunicación sobrepasa la administración de las herramientas y se convierte en la estrategia per se, un ejemplo de ello lo tenemos en el monitoreo de las llamadas </w:t>
      </w:r>
      <w:proofErr w:type="spellStart"/>
      <w:r>
        <w:rPr>
          <w:rFonts w:ascii="Arial" w:hAnsi="Arial" w:cs="Arial"/>
          <w:lang w:val="es-ES"/>
        </w:rPr>
        <w:t>fake</w:t>
      </w:r>
      <w:proofErr w:type="spellEnd"/>
      <w:r>
        <w:rPr>
          <w:rFonts w:ascii="Arial" w:hAnsi="Arial" w:cs="Arial"/>
          <w:lang w:val="es-ES"/>
        </w:rPr>
        <w:t xml:space="preserve"> </w:t>
      </w:r>
      <w:proofErr w:type="spellStart"/>
      <w:r>
        <w:rPr>
          <w:rFonts w:ascii="Arial" w:hAnsi="Arial" w:cs="Arial"/>
          <w:lang w:val="es-ES"/>
        </w:rPr>
        <w:t>news</w:t>
      </w:r>
      <w:proofErr w:type="spellEnd"/>
      <w:r>
        <w:rPr>
          <w:rFonts w:ascii="Arial" w:hAnsi="Arial" w:cs="Arial"/>
          <w:lang w:val="es-ES"/>
        </w:rPr>
        <w:t xml:space="preserve">, reto creciente en todas las regiones y en el que tan </w:t>
      </w:r>
      <w:r w:rsidRPr="006A16E4">
        <w:rPr>
          <w:rFonts w:ascii="Arial" w:hAnsi="Arial" w:cs="Arial"/>
          <w:lang w:val="es-ES"/>
        </w:rPr>
        <w:t xml:space="preserve">sólo un </w:t>
      </w:r>
      <w:r>
        <w:rPr>
          <w:rStyle w:val="Refdenotaalfinal"/>
          <w:rFonts w:ascii="Arial" w:hAnsi="Arial" w:cs="Arial"/>
          <w:lang w:val="es-ES"/>
        </w:rPr>
        <w:endnoteReference w:id="4"/>
      </w:r>
      <w:r w:rsidRPr="006A16E4">
        <w:rPr>
          <w:rFonts w:ascii="Arial" w:hAnsi="Arial" w:cs="Arial"/>
          <w:lang w:val="es-ES"/>
        </w:rPr>
        <w:t xml:space="preserve">9,7 % de las organizaciones latinoamericanas se pueden considerar avanzadas en la protección </w:t>
      </w:r>
      <w:r>
        <w:rPr>
          <w:rFonts w:ascii="Arial" w:hAnsi="Arial" w:cs="Arial"/>
          <w:lang w:val="es-ES"/>
        </w:rPr>
        <w:t>informática. Ante tal escenario, aquellas consultorías facultadas para proveer dicha protección a las organizaciones para afrontar este desafío, serán las más codiciadas a medida que avance la concientización sobre el riesgo que representa la falta de mecanismos para la identificación de información falsa.</w:t>
      </w:r>
    </w:p>
    <w:p w:rsidR="006E3D3B" w:rsidRPr="006E3D3B" w:rsidRDefault="006E3D3B" w:rsidP="006E3D3B">
      <w:pPr>
        <w:jc w:val="both"/>
        <w:rPr>
          <w:rFonts w:ascii="Arial" w:hAnsi="Arial" w:cs="Arial"/>
          <w:b/>
          <w:lang w:val="es-ES"/>
        </w:rPr>
      </w:pPr>
    </w:p>
    <w:p w:rsidR="00C06D07" w:rsidRDefault="00C06D07" w:rsidP="006E3D3B">
      <w:pPr>
        <w:jc w:val="both"/>
        <w:rPr>
          <w:rFonts w:ascii="Arial" w:hAnsi="Arial" w:cs="Arial"/>
          <w:b/>
          <w:i/>
        </w:rPr>
      </w:pPr>
      <w:r w:rsidRPr="006E3D3B">
        <w:rPr>
          <w:rFonts w:ascii="Arial" w:hAnsi="Arial" w:cs="Arial"/>
          <w:b/>
          <w:i/>
        </w:rPr>
        <w:t>Globalización</w:t>
      </w:r>
    </w:p>
    <w:p w:rsidR="006E3D3B" w:rsidRDefault="00E83CD2" w:rsidP="006E3D3B">
      <w:pPr>
        <w:jc w:val="both"/>
        <w:rPr>
          <w:rFonts w:ascii="Arial" w:hAnsi="Arial" w:cs="Arial"/>
          <w:lang w:val="es-ES"/>
        </w:rPr>
      </w:pPr>
      <w:r>
        <w:rPr>
          <w:rFonts w:ascii="Arial" w:hAnsi="Arial" w:cs="Arial"/>
          <w:lang w:val="es-ES"/>
        </w:rPr>
        <w:t>Como se ha mencionado previamente en este análisis, el concepto de globalización ha impactado el día a día de las organizaciones elevando las posibilidades de gestionar su comunicación desde diversas partes del mundo aprovechando las ventajas que este fenómeno ofrece como la homogeneización y la estandarización.</w:t>
      </w:r>
    </w:p>
    <w:p w:rsidR="00E83CD2" w:rsidRDefault="00E83CD2" w:rsidP="006E3D3B">
      <w:pPr>
        <w:jc w:val="both"/>
        <w:rPr>
          <w:rFonts w:ascii="Arial" w:hAnsi="Arial" w:cs="Arial"/>
          <w:lang w:val="es-ES"/>
        </w:rPr>
      </w:pPr>
      <w:r>
        <w:rPr>
          <w:rFonts w:ascii="Arial" w:hAnsi="Arial" w:cs="Arial"/>
          <w:lang w:val="es-ES"/>
        </w:rPr>
        <w:t>Principalmente, las grandes organizaciones con operaciones internacionales, buscan socios de negocio que compartan su capacidad de despliegue en diversos mercados en los que pueden actuar global con la mirada local</w:t>
      </w:r>
      <w:r w:rsidR="00360F7C">
        <w:rPr>
          <w:rFonts w:ascii="Arial" w:hAnsi="Arial" w:cs="Arial"/>
          <w:lang w:val="es-ES"/>
        </w:rPr>
        <w:t>. Lo anterior representa una enorme ventaja competitiva contra consultorías nacionales o locales que no pueden ofrecer sus servicios en los mercados de interés para una compañía internacional.</w:t>
      </w:r>
    </w:p>
    <w:p w:rsidR="00023436" w:rsidRDefault="00023436" w:rsidP="006E3D3B">
      <w:pPr>
        <w:jc w:val="both"/>
        <w:rPr>
          <w:rFonts w:ascii="Arial" w:hAnsi="Arial" w:cs="Arial"/>
          <w:lang w:val="es-ES"/>
        </w:rPr>
      </w:pPr>
      <w:r>
        <w:rPr>
          <w:rFonts w:ascii="Arial" w:hAnsi="Arial" w:cs="Arial"/>
          <w:lang w:val="es-ES"/>
        </w:rPr>
        <w:lastRenderedPageBreak/>
        <w:t xml:space="preserve">Sin </w:t>
      </w:r>
      <w:r w:rsidR="001D1853">
        <w:rPr>
          <w:rFonts w:ascii="Arial" w:hAnsi="Arial" w:cs="Arial"/>
          <w:lang w:val="es-ES"/>
        </w:rPr>
        <w:t>embargo,</w:t>
      </w:r>
      <w:r>
        <w:rPr>
          <w:rFonts w:ascii="Arial" w:hAnsi="Arial" w:cs="Arial"/>
          <w:lang w:val="es-ES"/>
        </w:rPr>
        <w:t xml:space="preserve"> este aspecto también representa un elemento primordial para el ejercicio de la disciplina en si misma, gracias a ello, los clientes pueden tener acceso a otras opciones de consultoría en diversas partes del mundo y analizar casos de éxito al alcance de la mano, panorama que complejiza y agudiza la dinámica de competencia en el sector nacional y ahora, en el sector a nivel global.</w:t>
      </w:r>
    </w:p>
    <w:p w:rsidR="00360F7C" w:rsidRDefault="00360F7C" w:rsidP="006E3D3B">
      <w:pPr>
        <w:jc w:val="both"/>
        <w:rPr>
          <w:rFonts w:ascii="Arial" w:hAnsi="Arial" w:cs="Arial"/>
          <w:b/>
          <w:i/>
          <w:lang w:val="es-ES"/>
        </w:rPr>
      </w:pPr>
    </w:p>
    <w:p w:rsidR="00C06D07" w:rsidRDefault="00C06D07" w:rsidP="006E3D3B">
      <w:pPr>
        <w:jc w:val="both"/>
        <w:rPr>
          <w:rFonts w:ascii="Arial" w:hAnsi="Arial" w:cs="Arial"/>
          <w:b/>
          <w:i/>
        </w:rPr>
      </w:pPr>
      <w:r w:rsidRPr="006E3D3B">
        <w:rPr>
          <w:rFonts w:ascii="Arial" w:hAnsi="Arial" w:cs="Arial"/>
          <w:b/>
          <w:i/>
        </w:rPr>
        <w:t>Regulación/Desregulación</w:t>
      </w:r>
    </w:p>
    <w:p w:rsidR="006E3D3B" w:rsidRDefault="00360F7C" w:rsidP="006E3D3B">
      <w:pPr>
        <w:jc w:val="both"/>
        <w:rPr>
          <w:rFonts w:ascii="Arial" w:hAnsi="Arial" w:cs="Arial"/>
          <w:lang w:val="es-ES"/>
        </w:rPr>
      </w:pPr>
      <w:r>
        <w:rPr>
          <w:rFonts w:ascii="Arial" w:hAnsi="Arial" w:cs="Arial"/>
          <w:lang w:val="es-ES"/>
        </w:rPr>
        <w:t>Si bien en México no existe una regulación intensiva en lo particular para la gestión de servicios de comunicación y relaciones públicas, cabe destacar las crecientes presiones para orientar el comportamiento de las consultorías hacía políticas de transparencia, ética y sustentabilidad que acompañen los esfuerzos corporativos de los clientes.</w:t>
      </w:r>
    </w:p>
    <w:p w:rsidR="006E3D3B" w:rsidRDefault="00360F7C" w:rsidP="006E3D3B">
      <w:pPr>
        <w:jc w:val="both"/>
        <w:rPr>
          <w:rFonts w:ascii="Arial" w:hAnsi="Arial" w:cs="Arial"/>
          <w:lang w:val="es-ES"/>
        </w:rPr>
      </w:pPr>
      <w:r>
        <w:rPr>
          <w:rFonts w:ascii="Arial" w:hAnsi="Arial" w:cs="Arial"/>
          <w:lang w:val="es-ES"/>
        </w:rPr>
        <w:t>Aunque no se vislumbra como un elemento clave que incida en la dinámica de competencia, es un aspecto que fortalece los atributos de la reputación de cada consultoría, lo cual sí es un factor diferenciador para la elección de una consultoría en empresas altamente orientadas en dicho marco de valores además de constituir una tendencia global en el sector empresarial.</w:t>
      </w:r>
    </w:p>
    <w:p w:rsidR="00984672" w:rsidRPr="00984672" w:rsidRDefault="00984672" w:rsidP="006E3D3B">
      <w:pPr>
        <w:jc w:val="both"/>
        <w:rPr>
          <w:rFonts w:ascii="Arial" w:hAnsi="Arial" w:cs="Arial"/>
          <w:lang w:val="es-ES"/>
        </w:rPr>
      </w:pPr>
    </w:p>
    <w:p w:rsidR="00C06D07" w:rsidRPr="00984672" w:rsidRDefault="00C06D07" w:rsidP="006E3D3B">
      <w:pPr>
        <w:jc w:val="both"/>
        <w:rPr>
          <w:rFonts w:ascii="Arial" w:hAnsi="Arial" w:cs="Arial"/>
          <w:b/>
          <w:i/>
        </w:rPr>
      </w:pPr>
      <w:r w:rsidRPr="00984672">
        <w:rPr>
          <w:rFonts w:ascii="Arial" w:hAnsi="Arial" w:cs="Arial"/>
          <w:b/>
          <w:i/>
        </w:rPr>
        <w:t>Productos alternativos (que se pueden definir como sustitutivos muy indirectos, algo así como elegir entre ir al cine, al restaurante o quedarse en casa viendo el fútbol un sábado por la noche)</w:t>
      </w:r>
    </w:p>
    <w:p w:rsidR="006E3D3B" w:rsidRDefault="00AC7E5F" w:rsidP="006E3D3B">
      <w:pPr>
        <w:jc w:val="both"/>
        <w:rPr>
          <w:rFonts w:ascii="Arial" w:hAnsi="Arial" w:cs="Arial"/>
          <w:lang w:val="es-ES"/>
        </w:rPr>
      </w:pPr>
      <w:r>
        <w:rPr>
          <w:rFonts w:ascii="Arial" w:hAnsi="Arial" w:cs="Arial"/>
          <w:lang w:val="es-ES"/>
        </w:rPr>
        <w:t xml:space="preserve">Reiterando los ángulos de análisis anteriores, cabe destacar en este apartado </w:t>
      </w:r>
      <w:bookmarkStart w:id="0" w:name="_GoBack"/>
      <w:bookmarkEnd w:id="0"/>
      <w:r w:rsidR="00B20393">
        <w:rPr>
          <w:rFonts w:ascii="Arial" w:hAnsi="Arial" w:cs="Arial"/>
          <w:lang w:val="es-ES"/>
        </w:rPr>
        <w:t>que,</w:t>
      </w:r>
      <w:r>
        <w:rPr>
          <w:rFonts w:ascii="Arial" w:hAnsi="Arial" w:cs="Arial"/>
          <w:lang w:val="es-ES"/>
        </w:rPr>
        <w:t xml:space="preserve"> si bien no existen soluciones sustitutivas de la comunicación y relaciones públicas desde el punto de vista teórico, la falta de profesionalización </w:t>
      </w:r>
      <w:r w:rsidR="007371BB">
        <w:rPr>
          <w:rFonts w:ascii="Arial" w:hAnsi="Arial" w:cs="Arial"/>
          <w:lang w:val="es-ES"/>
        </w:rPr>
        <w:t>en diversas posiciones encargadas de la reputación en las compañías, tiende a suplir los servicios de consultorías de comunicación por agencias de publicidad, marketing y cabildeo.</w:t>
      </w:r>
    </w:p>
    <w:p w:rsidR="007371BB" w:rsidRDefault="007371BB" w:rsidP="006E3D3B">
      <w:pPr>
        <w:jc w:val="both"/>
        <w:rPr>
          <w:rFonts w:ascii="Arial" w:hAnsi="Arial" w:cs="Arial"/>
          <w:lang w:val="es-ES"/>
        </w:rPr>
      </w:pPr>
      <w:r>
        <w:rPr>
          <w:rFonts w:ascii="Arial" w:hAnsi="Arial" w:cs="Arial"/>
          <w:lang w:val="es-ES"/>
        </w:rPr>
        <w:t>La capitalización de esta situación, ha llevado a muchas consultorías pequeñas a ofrecer sus servicios bajo la demanda del cliente sin que necesariamente tenga las capacidades para ello, lo que también ha provocado un impacto en la percepción de la efectividad de las verdaderas consultorías en comunicación y relaciones públicas.</w:t>
      </w:r>
    </w:p>
    <w:p w:rsidR="006E3D3B" w:rsidRPr="006E3D3B" w:rsidRDefault="006E3D3B" w:rsidP="006E3D3B">
      <w:pPr>
        <w:jc w:val="both"/>
        <w:rPr>
          <w:rFonts w:ascii="Arial" w:hAnsi="Arial" w:cs="Arial"/>
          <w:b/>
          <w:lang w:val="es-ES"/>
        </w:rPr>
      </w:pPr>
    </w:p>
    <w:p w:rsidR="00C06D07" w:rsidRDefault="00C06D07" w:rsidP="006E3D3B">
      <w:pPr>
        <w:jc w:val="both"/>
        <w:rPr>
          <w:rFonts w:ascii="Arial" w:hAnsi="Arial" w:cs="Arial"/>
        </w:rPr>
      </w:pPr>
      <w:r w:rsidRPr="006E3D3B">
        <w:rPr>
          <w:rFonts w:ascii="Arial" w:hAnsi="Arial" w:cs="Arial"/>
          <w:b/>
          <w:i/>
        </w:rPr>
        <w:t>Impacto de las Administraciones Públicas</w:t>
      </w:r>
    </w:p>
    <w:p w:rsidR="006E3D3B" w:rsidRDefault="00AC7E5F" w:rsidP="006E3D3B">
      <w:pPr>
        <w:jc w:val="both"/>
        <w:rPr>
          <w:rFonts w:ascii="Arial" w:hAnsi="Arial" w:cs="Arial"/>
          <w:lang w:val="es-ES"/>
        </w:rPr>
      </w:pPr>
      <w:r>
        <w:rPr>
          <w:rFonts w:ascii="Arial" w:hAnsi="Arial" w:cs="Arial"/>
          <w:lang w:val="es-ES"/>
        </w:rPr>
        <w:t>La influencia de los poderes públicos en la competencia entre consultorías cobra especial relevancia en ciertas soluciones que forman parte del portafolio de las agencias de comunicación y relaciones públicas.</w:t>
      </w:r>
    </w:p>
    <w:p w:rsidR="00AC7E5F" w:rsidRDefault="00AC7E5F" w:rsidP="006E3D3B">
      <w:pPr>
        <w:jc w:val="both"/>
        <w:rPr>
          <w:rFonts w:ascii="Arial" w:hAnsi="Arial" w:cs="Arial"/>
          <w:lang w:val="es-ES"/>
        </w:rPr>
      </w:pPr>
      <w:r>
        <w:rPr>
          <w:rFonts w:ascii="Arial" w:hAnsi="Arial" w:cs="Arial"/>
          <w:lang w:val="es-ES"/>
        </w:rPr>
        <w:t xml:space="preserve">Para el caso de Asuntos Públicos y Comunicación Política, el impacto de las administraciones públicas en favor o en contra de sus operaciones puede constituir una ventaja competitiva de </w:t>
      </w:r>
      <w:r>
        <w:rPr>
          <w:rFonts w:ascii="Arial" w:hAnsi="Arial" w:cs="Arial"/>
          <w:lang w:val="es-ES"/>
        </w:rPr>
        <w:lastRenderedPageBreak/>
        <w:t>gran envergadura toda vez que la base del servicio descansa sobre el nivel de relacionamiento que la consultoría mantiene con los actores o entidades públicas lo que en la mayoría de las ocasiones define las posiciones de liderazgo de las agencias en dichas especialidades, incluso cuando la mayoría de su portafolio de servicios no se encuentre directamente relacionado con el sector público.</w:t>
      </w:r>
    </w:p>
    <w:p w:rsidR="00AC7E5F" w:rsidRDefault="00AC7E5F" w:rsidP="006E3D3B">
      <w:pPr>
        <w:jc w:val="both"/>
        <w:rPr>
          <w:rFonts w:ascii="Arial" w:hAnsi="Arial" w:cs="Arial"/>
          <w:lang w:val="es-ES"/>
        </w:rPr>
      </w:pPr>
      <w:r>
        <w:rPr>
          <w:rFonts w:ascii="Arial" w:hAnsi="Arial" w:cs="Arial"/>
          <w:lang w:val="es-ES"/>
        </w:rPr>
        <w:t xml:space="preserve">Es por ello </w:t>
      </w:r>
      <w:r w:rsidR="00984672">
        <w:rPr>
          <w:rFonts w:ascii="Arial" w:hAnsi="Arial" w:cs="Arial"/>
          <w:lang w:val="es-ES"/>
        </w:rPr>
        <w:t>que,</w:t>
      </w:r>
      <w:r>
        <w:rPr>
          <w:rFonts w:ascii="Arial" w:hAnsi="Arial" w:cs="Arial"/>
          <w:lang w:val="es-ES"/>
        </w:rPr>
        <w:t xml:space="preserve"> en México, existen empresas que pueden ser líderes de su </w:t>
      </w:r>
      <w:r w:rsidR="00984672">
        <w:rPr>
          <w:rFonts w:ascii="Arial" w:hAnsi="Arial" w:cs="Arial"/>
          <w:lang w:val="es-ES"/>
        </w:rPr>
        <w:t>especialidad,</w:t>
      </w:r>
      <w:r>
        <w:rPr>
          <w:rFonts w:ascii="Arial" w:hAnsi="Arial" w:cs="Arial"/>
          <w:lang w:val="es-ES"/>
        </w:rPr>
        <w:t xml:space="preserve"> aunque no lo sean a nivel total portafolio de sus soluciones.</w:t>
      </w:r>
    </w:p>
    <w:p w:rsidR="006E3D3B" w:rsidRPr="006E3D3B" w:rsidRDefault="006E3D3B" w:rsidP="006E3D3B">
      <w:pPr>
        <w:jc w:val="both"/>
        <w:rPr>
          <w:rFonts w:ascii="Arial" w:hAnsi="Arial" w:cs="Arial"/>
          <w:lang w:val="es-ES"/>
        </w:rPr>
      </w:pPr>
    </w:p>
    <w:p w:rsidR="00C06D07" w:rsidRDefault="00C06D07" w:rsidP="006E3D3B">
      <w:pPr>
        <w:jc w:val="both"/>
        <w:rPr>
          <w:rFonts w:ascii="Arial" w:hAnsi="Arial" w:cs="Arial"/>
          <w:b/>
          <w:i/>
        </w:rPr>
      </w:pPr>
      <w:r w:rsidRPr="006E3D3B">
        <w:rPr>
          <w:rFonts w:ascii="Arial" w:hAnsi="Arial" w:cs="Arial"/>
          <w:b/>
          <w:i/>
        </w:rPr>
        <w:t>Poder de las asociaciones de consumidores</w:t>
      </w:r>
    </w:p>
    <w:p w:rsidR="00B91FB9" w:rsidRDefault="009569F2" w:rsidP="00B91FB9">
      <w:pPr>
        <w:jc w:val="both"/>
        <w:rPr>
          <w:rFonts w:ascii="Arial" w:hAnsi="Arial" w:cs="Arial"/>
          <w:lang w:val="es-ES"/>
        </w:rPr>
      </w:pPr>
      <w:r>
        <w:rPr>
          <w:rFonts w:ascii="Arial" w:hAnsi="Arial" w:cs="Arial"/>
          <w:lang w:val="es-ES"/>
        </w:rPr>
        <w:t>Aunque no se identifican grupos formales de consumidores de este tipo de servicio, si existen grupos informales de actores que comparten intereses profesionales, algunos de ellos desde el apartado de cliente en las empresas desde donde se ejerce cierta influencia para moldear algunos estándares sobre el servicio de comunicación y relaciones públicas.</w:t>
      </w:r>
    </w:p>
    <w:p w:rsidR="00023436" w:rsidRDefault="00023436" w:rsidP="00B91FB9">
      <w:pPr>
        <w:jc w:val="both"/>
        <w:rPr>
          <w:rFonts w:ascii="Arial" w:hAnsi="Arial" w:cs="Arial"/>
          <w:lang w:val="es-ES"/>
        </w:rPr>
      </w:pPr>
      <w:r>
        <w:rPr>
          <w:rFonts w:ascii="Arial" w:hAnsi="Arial" w:cs="Arial"/>
          <w:lang w:val="es-ES"/>
        </w:rPr>
        <w:t>Este tipo de foros se encuentra dominado por las consultorías más grandes al tener mayores capacidades de promoción y destino de recursos para la formación de profesionales, así como potenciales clientes que, de alguna u otra forma, también constituyen una ventaja competitiva al llegar al público meta de manera más directa que las compañías relativamente menores.</w:t>
      </w:r>
    </w:p>
    <w:p w:rsidR="00023436" w:rsidRDefault="00023436" w:rsidP="00B91FB9">
      <w:pPr>
        <w:jc w:val="both"/>
        <w:rPr>
          <w:rFonts w:ascii="Arial" w:hAnsi="Arial" w:cs="Arial"/>
          <w:lang w:val="es-ES"/>
        </w:rPr>
      </w:pPr>
      <w:r>
        <w:rPr>
          <w:rFonts w:ascii="Arial" w:hAnsi="Arial" w:cs="Arial"/>
          <w:lang w:val="es-ES"/>
        </w:rPr>
        <w:t>Adicionalmente, este tipo de frentes es utilizado para orientar la agenda de interés de las consultorías más influyentes, posicionando sus prioridades como tendencias a seguir por parte de los clientes, quienes en muchas ocasiones orientarán sus demandas con base en lo observado en estos eventos.</w:t>
      </w:r>
    </w:p>
    <w:p w:rsidR="00AC7E5F" w:rsidRDefault="00AC7E5F" w:rsidP="00B91FB9">
      <w:pPr>
        <w:jc w:val="both"/>
        <w:rPr>
          <w:rFonts w:ascii="Arial" w:hAnsi="Arial" w:cs="Arial"/>
          <w:b/>
          <w:i/>
          <w:lang w:val="es-ES"/>
        </w:rPr>
      </w:pPr>
    </w:p>
    <w:p w:rsidR="00C06D07" w:rsidRPr="00984672" w:rsidRDefault="00C06D07" w:rsidP="00B91FB9">
      <w:pPr>
        <w:jc w:val="both"/>
        <w:rPr>
          <w:rFonts w:ascii="Arial" w:hAnsi="Arial" w:cs="Arial"/>
          <w:i/>
        </w:rPr>
      </w:pPr>
      <w:r w:rsidRPr="00984672">
        <w:rPr>
          <w:rFonts w:ascii="Arial" w:hAnsi="Arial" w:cs="Arial"/>
          <w:b/>
          <w:i/>
        </w:rPr>
        <w:t>Poder de los grupos ecologistas...</w:t>
      </w:r>
    </w:p>
    <w:p w:rsidR="00B91FB9" w:rsidRDefault="00AC7E5F" w:rsidP="00B91FB9">
      <w:pPr>
        <w:jc w:val="both"/>
        <w:rPr>
          <w:rFonts w:ascii="Arial" w:hAnsi="Arial" w:cs="Arial"/>
          <w:lang w:val="es-ES"/>
        </w:rPr>
      </w:pPr>
      <w:r>
        <w:rPr>
          <w:rFonts w:ascii="Arial" w:hAnsi="Arial" w:cs="Arial"/>
          <w:lang w:val="es-ES"/>
        </w:rPr>
        <w:t>Evidentemente este grupo en específico no es un actor relevante para la valoración del sector de la comunicación y relaciones públicas, pero si lo usamos como una figura de los grupos de presión que poseen una preocupación particular sobre la oferta de algún bien o servicio ligado a su agenda de interés, en el país no se identifica algún grupo de interés importante para el que el quehacer de las consultorías tenga un impacto determinado en un asunto primordial de la agenda pública nacional.</w:t>
      </w:r>
    </w:p>
    <w:p w:rsidR="00080D6D" w:rsidRDefault="00080D6D" w:rsidP="00B91FB9">
      <w:pPr>
        <w:jc w:val="both"/>
        <w:rPr>
          <w:rFonts w:ascii="Arial" w:hAnsi="Arial" w:cs="Arial"/>
          <w:lang w:val="es-ES"/>
        </w:rPr>
      </w:pPr>
    </w:p>
    <w:p w:rsidR="00984672" w:rsidRDefault="00984672" w:rsidP="00B91FB9">
      <w:pPr>
        <w:jc w:val="both"/>
        <w:rPr>
          <w:rFonts w:ascii="Arial" w:hAnsi="Arial" w:cs="Arial"/>
          <w:b/>
          <w:sz w:val="24"/>
          <w:lang w:val="es-ES"/>
        </w:rPr>
      </w:pPr>
    </w:p>
    <w:p w:rsidR="00E30208" w:rsidRDefault="00E30208" w:rsidP="00B91FB9">
      <w:pPr>
        <w:jc w:val="both"/>
        <w:rPr>
          <w:rFonts w:ascii="Arial" w:hAnsi="Arial" w:cs="Arial"/>
          <w:b/>
          <w:sz w:val="24"/>
          <w:lang w:val="es-ES"/>
        </w:rPr>
      </w:pPr>
    </w:p>
    <w:p w:rsidR="00EF3291" w:rsidRDefault="00EF3291" w:rsidP="00B91FB9">
      <w:pPr>
        <w:jc w:val="both"/>
        <w:rPr>
          <w:rFonts w:ascii="Arial" w:hAnsi="Arial" w:cs="Arial"/>
          <w:b/>
          <w:sz w:val="24"/>
          <w:lang w:val="es-ES"/>
        </w:rPr>
      </w:pPr>
    </w:p>
    <w:p w:rsidR="00080D6D" w:rsidRDefault="00080D6D" w:rsidP="00B91FB9">
      <w:pPr>
        <w:jc w:val="both"/>
        <w:rPr>
          <w:rFonts w:ascii="Arial" w:hAnsi="Arial" w:cs="Arial"/>
          <w:b/>
          <w:sz w:val="24"/>
          <w:lang w:val="es-ES"/>
        </w:rPr>
      </w:pPr>
      <w:r w:rsidRPr="00080D6D">
        <w:rPr>
          <w:rFonts w:ascii="Arial" w:hAnsi="Arial" w:cs="Arial"/>
          <w:b/>
          <w:sz w:val="24"/>
          <w:lang w:val="es-ES"/>
        </w:rPr>
        <w:lastRenderedPageBreak/>
        <w:t>Conclusiones</w:t>
      </w:r>
    </w:p>
    <w:p w:rsidR="00984672" w:rsidRDefault="00B6154E" w:rsidP="00B91FB9">
      <w:pPr>
        <w:jc w:val="both"/>
        <w:rPr>
          <w:rFonts w:ascii="Arial" w:hAnsi="Arial" w:cs="Arial"/>
          <w:sz w:val="24"/>
          <w:lang w:val="es-ES"/>
        </w:rPr>
      </w:pPr>
      <w:r>
        <w:rPr>
          <w:rFonts w:ascii="Arial" w:hAnsi="Arial" w:cs="Arial"/>
          <w:sz w:val="24"/>
          <w:lang w:val="es-ES"/>
        </w:rPr>
        <w:t>La importancia del contexto es fundamental para un análisis sectorial tanto de la consultoría en comunicación y relaciones públicas como de cualquier otra industria en los distintos países del orbe.</w:t>
      </w:r>
    </w:p>
    <w:p w:rsidR="00B6154E" w:rsidRDefault="00B6154E" w:rsidP="00B91FB9">
      <w:pPr>
        <w:jc w:val="both"/>
        <w:rPr>
          <w:rFonts w:ascii="Arial" w:hAnsi="Arial" w:cs="Arial"/>
          <w:sz w:val="24"/>
          <w:lang w:val="es-ES"/>
        </w:rPr>
      </w:pPr>
      <w:r>
        <w:rPr>
          <w:rFonts w:ascii="Arial" w:hAnsi="Arial" w:cs="Arial"/>
          <w:sz w:val="24"/>
          <w:lang w:val="es-ES"/>
        </w:rPr>
        <w:t>Particularmente en México, el entorno ha sido uno de los elementos primordiales en la evolución de la industria de la comunicación y a su vez, el entorno regional y global ha incidido en la orientación de las necesidades de las compañías con operaciones en el país.</w:t>
      </w:r>
    </w:p>
    <w:p w:rsidR="008B2A31" w:rsidRDefault="00B6154E" w:rsidP="00B91FB9">
      <w:pPr>
        <w:jc w:val="both"/>
        <w:rPr>
          <w:rFonts w:ascii="Arial" w:hAnsi="Arial" w:cs="Arial"/>
          <w:sz w:val="24"/>
          <w:lang w:val="es-ES"/>
        </w:rPr>
      </w:pPr>
      <w:r>
        <w:rPr>
          <w:rFonts w:ascii="Arial" w:hAnsi="Arial" w:cs="Arial"/>
          <w:sz w:val="24"/>
          <w:lang w:val="es-ES"/>
        </w:rPr>
        <w:t>Si bien pareciera un sector altamente competitivo con relativamente pocas barreras de entrada para nuevos jugadores, la dinámica de las empresas dominantes ha marcado las tendencias y los estándares de la oferta aprovechando un mayor alcance, recursos y experiencia por encima de aquellas que no cuentan con ello.</w:t>
      </w:r>
    </w:p>
    <w:p w:rsidR="008B2A31" w:rsidRDefault="00B6154E" w:rsidP="00B91FB9">
      <w:pPr>
        <w:jc w:val="both"/>
        <w:rPr>
          <w:rFonts w:ascii="Arial" w:hAnsi="Arial" w:cs="Arial"/>
          <w:sz w:val="24"/>
          <w:lang w:val="es-ES"/>
        </w:rPr>
      </w:pPr>
      <w:r>
        <w:rPr>
          <w:rFonts w:ascii="Arial" w:hAnsi="Arial" w:cs="Arial"/>
          <w:sz w:val="24"/>
          <w:lang w:val="es-ES"/>
        </w:rPr>
        <w:t>Tanta es la diversidad de organizaciones en el país, que sigue representando un negocio atractivo la apertura de agencias de comunicación y relaciones públicas que encuentran una forma de competir por medio de la combinación de atributos globales y soluciones a la medida que pocas veces es observada en las grandes consultorías.</w:t>
      </w:r>
    </w:p>
    <w:p w:rsidR="00B6154E" w:rsidRDefault="00B6154E" w:rsidP="00B91FB9">
      <w:pPr>
        <w:jc w:val="both"/>
        <w:rPr>
          <w:rFonts w:ascii="Arial" w:hAnsi="Arial" w:cs="Arial"/>
          <w:sz w:val="24"/>
          <w:lang w:val="es-ES"/>
        </w:rPr>
      </w:pPr>
      <w:r>
        <w:rPr>
          <w:rFonts w:ascii="Arial" w:hAnsi="Arial" w:cs="Arial"/>
          <w:sz w:val="24"/>
          <w:lang w:val="es-ES"/>
        </w:rPr>
        <w:t>Los rubros aquí revisados reafirman que existe una notoria diferencia en el concepto de agencia y consultoría, enfocándose esta última en el desarrollo de un portafolio de soluciones cada vez más especializadas pero in</w:t>
      </w:r>
      <w:r w:rsidR="007E5B48">
        <w:rPr>
          <w:rFonts w:ascii="Arial" w:hAnsi="Arial" w:cs="Arial"/>
          <w:sz w:val="24"/>
          <w:lang w:val="es-ES"/>
        </w:rPr>
        <w:t>cluidas</w:t>
      </w:r>
      <w:r>
        <w:rPr>
          <w:rFonts w:ascii="Arial" w:hAnsi="Arial" w:cs="Arial"/>
          <w:sz w:val="24"/>
          <w:lang w:val="es-ES"/>
        </w:rPr>
        <w:t xml:space="preserve"> en una visión integral de negocio que resulta ser un gran diferenciador para las compañías en el país.</w:t>
      </w:r>
    </w:p>
    <w:p w:rsidR="007E5B48" w:rsidRDefault="007E5B48" w:rsidP="00B91FB9">
      <w:pPr>
        <w:jc w:val="both"/>
        <w:rPr>
          <w:rFonts w:ascii="Arial" w:hAnsi="Arial" w:cs="Arial"/>
          <w:sz w:val="24"/>
          <w:lang w:val="es-ES"/>
        </w:rPr>
      </w:pPr>
      <w:r>
        <w:rPr>
          <w:rFonts w:ascii="Arial" w:hAnsi="Arial" w:cs="Arial"/>
          <w:sz w:val="24"/>
          <w:lang w:val="es-ES"/>
        </w:rPr>
        <w:t>El entendimiento del valor que los socios de negocio de este sector pueden ofrecer a las organizaciones está migrando del uso intensivo de “mano de obra” a la</w:t>
      </w:r>
      <w:r w:rsidR="008B2A31">
        <w:rPr>
          <w:rFonts w:ascii="Arial" w:hAnsi="Arial" w:cs="Arial"/>
          <w:sz w:val="24"/>
          <w:lang w:val="es-ES"/>
        </w:rPr>
        <w:t xml:space="preserve"> de “cerebros de obra” poniendo mayor énfasis en la estrategia que en la táctica. Incluso, ya existen diversos casos en los que una sola compañía, contrata a una consultoría para diseñar su plan de comunicación mientras que contrata a una agencia para operar la ejecución de la misma.</w:t>
      </w:r>
    </w:p>
    <w:p w:rsidR="008B2A31" w:rsidRDefault="008B2A31" w:rsidP="00B91FB9">
      <w:pPr>
        <w:jc w:val="both"/>
        <w:rPr>
          <w:rFonts w:ascii="Arial" w:hAnsi="Arial" w:cs="Arial"/>
          <w:sz w:val="24"/>
          <w:lang w:val="es-ES"/>
        </w:rPr>
      </w:pPr>
      <w:r>
        <w:rPr>
          <w:rFonts w:ascii="Arial" w:hAnsi="Arial" w:cs="Arial"/>
          <w:sz w:val="24"/>
          <w:lang w:val="es-ES"/>
        </w:rPr>
        <w:t xml:space="preserve">Para ello, también tendrá que optarse por competir la batalla del talento, </w:t>
      </w:r>
      <w:r w:rsidR="001D1853" w:rsidRPr="008B2A31">
        <w:rPr>
          <w:rFonts w:ascii="Arial" w:hAnsi="Arial" w:cs="Arial"/>
          <w:sz w:val="24"/>
          <w:lang w:val="es-ES"/>
        </w:rPr>
        <w:t>ya que,</w:t>
      </w:r>
      <w:r w:rsidRPr="008B2A31">
        <w:rPr>
          <w:rFonts w:ascii="Arial" w:hAnsi="Arial" w:cs="Arial"/>
          <w:sz w:val="24"/>
          <w:lang w:val="es-ES"/>
        </w:rPr>
        <w:t xml:space="preserve"> si bien actualmente existen mil </w:t>
      </w:r>
      <w:r w:rsidR="001D1853">
        <w:rPr>
          <w:rFonts w:ascii="Arial" w:hAnsi="Arial" w:cs="Arial"/>
          <w:sz w:val="24"/>
          <w:lang w:val="es-ES"/>
        </w:rPr>
        <w:t>seis</w:t>
      </w:r>
      <w:r w:rsidR="001D1853">
        <w:rPr>
          <w:rStyle w:val="Refdenotaalfinal"/>
          <w:rFonts w:ascii="Arial" w:hAnsi="Arial" w:cs="Arial"/>
          <w:sz w:val="24"/>
          <w:lang w:val="es-ES"/>
        </w:rPr>
        <w:endnoteReference w:id="5"/>
      </w:r>
      <w:r w:rsidRPr="008B2A31">
        <w:rPr>
          <w:rFonts w:ascii="Arial" w:hAnsi="Arial" w:cs="Arial"/>
          <w:sz w:val="24"/>
          <w:lang w:val="es-ES"/>
        </w:rPr>
        <w:t xml:space="preserve"> escuelas de comunicación a nivel nacional, sólo 54 ofrecen el programa vinculado a Relaciones Públicas</w:t>
      </w:r>
      <w:r w:rsidR="001D1853">
        <w:rPr>
          <w:rFonts w:ascii="Arial" w:hAnsi="Arial" w:cs="Arial"/>
          <w:sz w:val="24"/>
          <w:lang w:val="es-ES"/>
        </w:rPr>
        <w:t xml:space="preserve"> lo que denota la urgencia por desarrollar la profesionalización de la disciplina no solo para contar con recursos humanos cada vez más capacitados sino para generar un mayor entendimiento también desde el lado de los futuros y potenciales clientes sobre el valor de la consultoría en reputación e influencia.</w:t>
      </w:r>
    </w:p>
    <w:p w:rsidR="001D1853" w:rsidRDefault="00B6154E" w:rsidP="00B91FB9">
      <w:pPr>
        <w:jc w:val="both"/>
        <w:rPr>
          <w:rFonts w:ascii="Arial" w:hAnsi="Arial" w:cs="Arial"/>
          <w:sz w:val="24"/>
          <w:lang w:val="es-ES"/>
        </w:rPr>
      </w:pPr>
      <w:r>
        <w:rPr>
          <w:rFonts w:ascii="Arial" w:hAnsi="Arial" w:cs="Arial"/>
          <w:sz w:val="24"/>
          <w:lang w:val="es-ES"/>
        </w:rPr>
        <w:t xml:space="preserve">Ante el proceso de maduración de los profesionales dedicados a esta disciplina y el mayor entendimiento que los </w:t>
      </w:r>
      <w:r w:rsidR="00A05D2A">
        <w:rPr>
          <w:rFonts w:ascii="Arial" w:hAnsi="Arial" w:cs="Arial"/>
          <w:sz w:val="24"/>
          <w:lang w:val="es-ES"/>
        </w:rPr>
        <w:t xml:space="preserve">equipos ejecutivos están adquiriendo sobre el valor de la </w:t>
      </w:r>
      <w:r w:rsidR="00A05D2A">
        <w:rPr>
          <w:rFonts w:ascii="Arial" w:hAnsi="Arial" w:cs="Arial"/>
          <w:sz w:val="24"/>
          <w:lang w:val="es-ES"/>
        </w:rPr>
        <w:lastRenderedPageBreak/>
        <w:t xml:space="preserve">comunicación y las relaciones públicas para sus objetivos de negocio, LLYC tendrá que seguir construyendo un planteamiento visionario que marque agenda y tendencias </w:t>
      </w:r>
      <w:r w:rsidR="007E5B48">
        <w:rPr>
          <w:rFonts w:ascii="Arial" w:hAnsi="Arial" w:cs="Arial"/>
          <w:sz w:val="24"/>
          <w:lang w:val="es-ES"/>
        </w:rPr>
        <w:t>en el ámbito basados en el conocimiento y en la incorporación de otros elementos de desarrollo como el conocimiento, las tecnologías, las nuevas generaciones y especialmente,</w:t>
      </w:r>
      <w:r w:rsidR="008B2A31">
        <w:rPr>
          <w:rFonts w:ascii="Arial" w:hAnsi="Arial" w:cs="Arial"/>
          <w:sz w:val="24"/>
          <w:lang w:val="es-ES"/>
        </w:rPr>
        <w:t xml:space="preserve"> en</w:t>
      </w:r>
      <w:r w:rsidR="007E5B48">
        <w:rPr>
          <w:rFonts w:ascii="Arial" w:hAnsi="Arial" w:cs="Arial"/>
          <w:sz w:val="24"/>
          <w:lang w:val="es-ES"/>
        </w:rPr>
        <w:t xml:space="preserve"> la orientación de negocio en cada una de las actividades</w:t>
      </w:r>
      <w:r w:rsidR="008B2A31">
        <w:rPr>
          <w:rFonts w:ascii="Arial" w:hAnsi="Arial" w:cs="Arial"/>
          <w:sz w:val="24"/>
          <w:lang w:val="es-ES"/>
        </w:rPr>
        <w:t xml:space="preserve">. </w:t>
      </w:r>
    </w:p>
    <w:p w:rsidR="008B2A31" w:rsidRPr="00023436" w:rsidRDefault="008B2A31" w:rsidP="00B91FB9">
      <w:pPr>
        <w:jc w:val="both"/>
        <w:rPr>
          <w:rFonts w:ascii="Arial" w:hAnsi="Arial" w:cs="Arial"/>
          <w:sz w:val="24"/>
          <w:lang w:val="es-ES"/>
        </w:rPr>
      </w:pPr>
      <w:r>
        <w:rPr>
          <w:rFonts w:ascii="Arial" w:hAnsi="Arial" w:cs="Arial"/>
          <w:sz w:val="24"/>
          <w:lang w:val="es-ES"/>
        </w:rPr>
        <w:t>Migrar de una consultoría de comunicación a una consultoría de negocio basados en la reputación e influencia, es sin duda, una de las ventajas competitivas más grandes que LLYC tendrá en México.</w:t>
      </w:r>
    </w:p>
    <w:p w:rsidR="00C06D07" w:rsidRPr="00B91FB9" w:rsidRDefault="00C06D07" w:rsidP="00C06D07">
      <w:pPr>
        <w:jc w:val="both"/>
        <w:rPr>
          <w:rFonts w:ascii="Arial" w:hAnsi="Arial" w:cs="Arial"/>
          <w:lang w:val="es-ES"/>
        </w:rPr>
      </w:pPr>
    </w:p>
    <w:p w:rsidR="00C06D07" w:rsidRDefault="00C06D07" w:rsidP="00C06D07">
      <w:pPr>
        <w:jc w:val="both"/>
        <w:rPr>
          <w:rFonts w:ascii="Arial" w:hAnsi="Arial" w:cs="Arial"/>
          <w:lang w:val="es-ES"/>
        </w:rPr>
      </w:pPr>
    </w:p>
    <w:p w:rsidR="00023436" w:rsidRDefault="00023436" w:rsidP="00C06D07">
      <w:pPr>
        <w:jc w:val="both"/>
        <w:rPr>
          <w:rFonts w:ascii="Arial" w:hAnsi="Arial" w:cs="Arial"/>
          <w:lang w:val="es-ES"/>
        </w:rPr>
      </w:pPr>
    </w:p>
    <w:p w:rsidR="00023436" w:rsidRDefault="00023436" w:rsidP="00C06D07">
      <w:pPr>
        <w:jc w:val="both"/>
        <w:rPr>
          <w:rFonts w:ascii="Arial" w:hAnsi="Arial" w:cs="Arial"/>
          <w:lang w:val="es-ES"/>
        </w:rPr>
      </w:pPr>
    </w:p>
    <w:p w:rsidR="007E5B48" w:rsidRDefault="007E5B48" w:rsidP="00C06D07">
      <w:pPr>
        <w:jc w:val="both"/>
        <w:rPr>
          <w:rFonts w:ascii="Arial" w:hAnsi="Arial" w:cs="Arial"/>
          <w:lang w:val="es-ES"/>
        </w:rPr>
      </w:pPr>
    </w:p>
    <w:p w:rsidR="001D1853" w:rsidRDefault="001D1853" w:rsidP="00C06D07">
      <w:pPr>
        <w:jc w:val="both"/>
        <w:rPr>
          <w:rFonts w:ascii="Arial" w:hAnsi="Arial" w:cs="Arial"/>
          <w:lang w:val="es-ES"/>
        </w:rPr>
      </w:pPr>
    </w:p>
    <w:p w:rsidR="001D1853" w:rsidRDefault="001D1853" w:rsidP="00C06D07">
      <w:pPr>
        <w:jc w:val="both"/>
        <w:rPr>
          <w:rFonts w:ascii="Arial" w:hAnsi="Arial" w:cs="Arial"/>
          <w:lang w:val="es-ES"/>
        </w:rPr>
      </w:pPr>
    </w:p>
    <w:p w:rsidR="001D1853" w:rsidRDefault="001D1853" w:rsidP="00C06D07">
      <w:pPr>
        <w:jc w:val="both"/>
        <w:rPr>
          <w:rFonts w:ascii="Arial" w:hAnsi="Arial" w:cs="Arial"/>
          <w:lang w:val="es-ES"/>
        </w:rPr>
      </w:pPr>
    </w:p>
    <w:p w:rsidR="001D1853" w:rsidRDefault="001D1853" w:rsidP="00C06D07">
      <w:pPr>
        <w:jc w:val="both"/>
        <w:rPr>
          <w:rFonts w:ascii="Arial" w:hAnsi="Arial" w:cs="Arial"/>
          <w:lang w:val="es-ES"/>
        </w:rPr>
      </w:pPr>
    </w:p>
    <w:p w:rsidR="001D1853" w:rsidRDefault="001D1853" w:rsidP="00C06D07">
      <w:pPr>
        <w:jc w:val="both"/>
        <w:rPr>
          <w:rFonts w:ascii="Arial" w:hAnsi="Arial" w:cs="Arial"/>
          <w:lang w:val="es-ES"/>
        </w:rPr>
      </w:pPr>
    </w:p>
    <w:p w:rsidR="001D1853" w:rsidRDefault="001D1853" w:rsidP="00C06D07">
      <w:pPr>
        <w:jc w:val="both"/>
        <w:rPr>
          <w:rFonts w:ascii="Arial" w:hAnsi="Arial" w:cs="Arial"/>
          <w:lang w:val="es-ES"/>
        </w:rPr>
      </w:pPr>
    </w:p>
    <w:p w:rsidR="001D1853" w:rsidRDefault="001D1853" w:rsidP="00C06D07">
      <w:pPr>
        <w:jc w:val="both"/>
        <w:rPr>
          <w:rFonts w:ascii="Arial" w:hAnsi="Arial" w:cs="Arial"/>
          <w:lang w:val="es-ES"/>
        </w:rPr>
      </w:pPr>
    </w:p>
    <w:p w:rsidR="001D1853" w:rsidRDefault="001D1853" w:rsidP="00C06D07">
      <w:pPr>
        <w:jc w:val="both"/>
        <w:rPr>
          <w:rFonts w:ascii="Arial" w:hAnsi="Arial" w:cs="Arial"/>
          <w:lang w:val="es-ES"/>
        </w:rPr>
      </w:pPr>
    </w:p>
    <w:p w:rsidR="001D1853" w:rsidRDefault="001D1853" w:rsidP="00C06D07">
      <w:pPr>
        <w:jc w:val="both"/>
        <w:rPr>
          <w:rFonts w:ascii="Arial" w:hAnsi="Arial" w:cs="Arial"/>
          <w:lang w:val="es-ES"/>
        </w:rPr>
      </w:pPr>
    </w:p>
    <w:p w:rsidR="001D1853" w:rsidRDefault="001D1853" w:rsidP="00C06D07">
      <w:pPr>
        <w:jc w:val="both"/>
        <w:rPr>
          <w:rFonts w:ascii="Arial" w:hAnsi="Arial" w:cs="Arial"/>
          <w:lang w:val="es-ES"/>
        </w:rPr>
      </w:pPr>
    </w:p>
    <w:p w:rsidR="001D1853" w:rsidRDefault="001D1853" w:rsidP="00C06D07">
      <w:pPr>
        <w:jc w:val="both"/>
        <w:rPr>
          <w:rFonts w:ascii="Arial" w:hAnsi="Arial" w:cs="Arial"/>
          <w:lang w:val="es-ES"/>
        </w:rPr>
      </w:pPr>
    </w:p>
    <w:p w:rsidR="001D1853" w:rsidRDefault="001D1853" w:rsidP="00C06D07">
      <w:pPr>
        <w:jc w:val="both"/>
        <w:rPr>
          <w:rFonts w:ascii="Arial" w:hAnsi="Arial" w:cs="Arial"/>
          <w:lang w:val="es-ES"/>
        </w:rPr>
      </w:pPr>
    </w:p>
    <w:p w:rsidR="001D1853" w:rsidRDefault="001D1853" w:rsidP="00C06D07">
      <w:pPr>
        <w:jc w:val="both"/>
        <w:rPr>
          <w:rFonts w:ascii="Arial" w:hAnsi="Arial" w:cs="Arial"/>
          <w:lang w:val="es-ES"/>
        </w:rPr>
      </w:pPr>
    </w:p>
    <w:p w:rsidR="001D1853" w:rsidRDefault="001D1853" w:rsidP="00C06D07">
      <w:pPr>
        <w:jc w:val="both"/>
        <w:rPr>
          <w:rFonts w:ascii="Arial" w:hAnsi="Arial" w:cs="Arial"/>
          <w:lang w:val="es-ES"/>
        </w:rPr>
      </w:pPr>
    </w:p>
    <w:p w:rsidR="001D1853" w:rsidRDefault="001D1853" w:rsidP="00C06D07">
      <w:pPr>
        <w:jc w:val="both"/>
        <w:rPr>
          <w:rFonts w:ascii="Arial" w:hAnsi="Arial" w:cs="Arial"/>
          <w:lang w:val="es-ES"/>
        </w:rPr>
      </w:pPr>
    </w:p>
    <w:p w:rsidR="00C06D07" w:rsidRPr="00C06D07" w:rsidRDefault="00023436" w:rsidP="00C06D07">
      <w:pPr>
        <w:jc w:val="both"/>
        <w:rPr>
          <w:rFonts w:ascii="Arial" w:hAnsi="Arial" w:cs="Arial"/>
          <w:lang w:val="es-ES"/>
        </w:rPr>
      </w:pPr>
      <w:r>
        <w:rPr>
          <w:rFonts w:ascii="Arial" w:hAnsi="Arial" w:cs="Arial"/>
          <w:lang w:val="es-ES"/>
        </w:rPr>
        <w:lastRenderedPageBreak/>
        <w:t>Referencias bibliográficas</w:t>
      </w:r>
    </w:p>
    <w:p w:rsidR="00C06D07" w:rsidRPr="00C06D07" w:rsidRDefault="00C06D07" w:rsidP="00BA02DD">
      <w:pPr>
        <w:jc w:val="both"/>
        <w:rPr>
          <w:rFonts w:ascii="Arial" w:hAnsi="Arial" w:cs="Arial"/>
          <w:b/>
          <w:lang w:val="es-ES"/>
        </w:rPr>
      </w:pPr>
    </w:p>
    <w:sectPr w:rsidR="00C06D07" w:rsidRPr="00C06D07" w:rsidSect="0007426A">
      <w:headerReference w:type="default" r:id="rId9"/>
      <w:footerReference w:type="default" r:id="rId10"/>
      <w:pgSz w:w="11906" w:h="16838"/>
      <w:pgMar w:top="2127" w:right="849" w:bottom="1134" w:left="1701" w:header="708" w:footer="3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77C1" w:rsidRDefault="002977C1" w:rsidP="00A77705">
      <w:pPr>
        <w:spacing w:after="0" w:line="240" w:lineRule="auto"/>
      </w:pPr>
      <w:r>
        <w:separator/>
      </w:r>
    </w:p>
  </w:endnote>
  <w:endnote w:type="continuationSeparator" w:id="0">
    <w:p w:rsidR="002977C1" w:rsidRDefault="002977C1" w:rsidP="00A77705">
      <w:pPr>
        <w:spacing w:after="0" w:line="240" w:lineRule="auto"/>
      </w:pPr>
      <w:r>
        <w:continuationSeparator/>
      </w:r>
    </w:p>
  </w:endnote>
  <w:endnote w:id="1">
    <w:p w:rsidR="00080D6D" w:rsidRPr="00080D6D" w:rsidRDefault="00080D6D">
      <w:pPr>
        <w:pStyle w:val="Textonotaalfinal"/>
      </w:pPr>
      <w:r>
        <w:rPr>
          <w:rStyle w:val="Refdenotaalfinal"/>
        </w:rPr>
        <w:endnoteRef/>
      </w:r>
      <w:r>
        <w:t xml:space="preserve"> Ángeles Moreno y Juan Carlos </w:t>
      </w:r>
      <w:proofErr w:type="spellStart"/>
      <w:r>
        <w:t>Molleda</w:t>
      </w:r>
      <w:proofErr w:type="spellEnd"/>
      <w:r w:rsidR="00C0720A">
        <w:t xml:space="preserve"> (2005)</w:t>
      </w:r>
      <w:r w:rsidR="000746B8">
        <w:t>, “</w:t>
      </w:r>
      <w:r w:rsidR="000746B8" w:rsidRPr="00080D6D">
        <w:t>Las Relaciones Públicas en México: Contextos Económico, Político y Mediático en un Proceso Histórico de Cambios</w:t>
      </w:r>
      <w:r w:rsidR="000746B8">
        <w:t>”</w:t>
      </w:r>
      <w:r w:rsidR="00C0720A">
        <w:t xml:space="preserve"> Razón y Palabra.</w:t>
      </w:r>
    </w:p>
  </w:endnote>
  <w:endnote w:id="2">
    <w:p w:rsidR="00F14B56" w:rsidRPr="00F14B56" w:rsidRDefault="00F14B56">
      <w:pPr>
        <w:pStyle w:val="Textonotaalfinal"/>
        <w:rPr>
          <w:lang w:val="es-MX"/>
        </w:rPr>
      </w:pPr>
      <w:r>
        <w:rPr>
          <w:rStyle w:val="Refdenotaalfinal"/>
        </w:rPr>
        <w:endnoteRef/>
      </w:r>
      <w:r>
        <w:t xml:space="preserve"> “</w:t>
      </w:r>
      <w:r w:rsidRPr="00F14B56">
        <w:t>La nueva cara de las relaciones públicas en México: Las tendencias que debes conocer</w:t>
      </w:r>
      <w:r>
        <w:t xml:space="preserve">”. </w:t>
      </w:r>
      <w:hyperlink r:id="rId1" w:history="1">
        <w:r w:rsidRPr="00F14B56">
          <w:rPr>
            <w:rStyle w:val="Hipervnculo"/>
          </w:rPr>
          <w:t>Merca 2.0 Online</w:t>
        </w:r>
      </w:hyperlink>
    </w:p>
  </w:endnote>
  <w:endnote w:id="3">
    <w:p w:rsidR="00080D6D" w:rsidRPr="00080D6D" w:rsidRDefault="00080D6D">
      <w:pPr>
        <w:pStyle w:val="Textonotaalfinal"/>
        <w:rPr>
          <w:lang w:val="es-MX"/>
        </w:rPr>
      </w:pPr>
      <w:r>
        <w:rPr>
          <w:rStyle w:val="Refdenotaalfinal"/>
        </w:rPr>
        <w:endnoteRef/>
      </w:r>
      <w:r>
        <w:t xml:space="preserve"> </w:t>
      </w:r>
      <w:r w:rsidR="000746B8">
        <w:t>“</w:t>
      </w:r>
      <w:r>
        <w:t>Retos de las relaciones públicas en México</w:t>
      </w:r>
      <w:r w:rsidR="000746B8">
        <w:t>”</w:t>
      </w:r>
      <w:r>
        <w:t xml:space="preserve">, </w:t>
      </w:r>
      <w:hyperlink r:id="rId2" w:history="1">
        <w:r w:rsidRPr="00080D6D">
          <w:rPr>
            <w:rStyle w:val="Hipervnculo"/>
          </w:rPr>
          <w:t>Merca 2.0 Online</w:t>
        </w:r>
      </w:hyperlink>
      <w:r>
        <w:t xml:space="preserve">. </w:t>
      </w:r>
    </w:p>
  </w:endnote>
  <w:endnote w:id="4">
    <w:p w:rsidR="006A16E4" w:rsidRPr="006A16E4" w:rsidRDefault="006A16E4">
      <w:pPr>
        <w:pStyle w:val="Textonotaalfinal"/>
        <w:rPr>
          <w:lang w:val="es-MX"/>
        </w:rPr>
      </w:pPr>
      <w:r>
        <w:rPr>
          <w:rStyle w:val="Refdenotaalfinal"/>
        </w:rPr>
        <w:endnoteRef/>
      </w:r>
      <w:r>
        <w:t xml:space="preserve"> </w:t>
      </w:r>
      <w:r>
        <w:t xml:space="preserve">Ángeles Moreno y Juan Carlos </w:t>
      </w:r>
      <w:proofErr w:type="spellStart"/>
      <w:r>
        <w:t>Molleda</w:t>
      </w:r>
      <w:proofErr w:type="spellEnd"/>
      <w:r>
        <w:t>, “</w:t>
      </w:r>
      <w:proofErr w:type="spellStart"/>
      <w:r w:rsidR="00C0720A">
        <w:fldChar w:fldCharType="begin"/>
      </w:r>
      <w:r w:rsidR="00C0720A">
        <w:instrText xml:space="preserve"> HYPERLINK "http://latincommunicationmonitor.com/site/2019/05/08/presentacion-de-los-resultados-lcm2018-lcm2019-madrid-cibecom2019/" </w:instrText>
      </w:r>
      <w:r w:rsidR="00C0720A">
        <w:fldChar w:fldCharType="separate"/>
      </w:r>
      <w:r w:rsidR="00C0720A" w:rsidRPr="00C0720A">
        <w:rPr>
          <w:rStyle w:val="Hipervnculo"/>
        </w:rPr>
        <w:t>Latin</w:t>
      </w:r>
      <w:proofErr w:type="spellEnd"/>
      <w:r w:rsidR="00C0720A" w:rsidRPr="00C0720A">
        <w:rPr>
          <w:rStyle w:val="Hipervnculo"/>
        </w:rPr>
        <w:t xml:space="preserve"> American </w:t>
      </w:r>
      <w:proofErr w:type="spellStart"/>
      <w:r w:rsidR="00C0720A" w:rsidRPr="00C0720A">
        <w:rPr>
          <w:rStyle w:val="Hipervnculo"/>
        </w:rPr>
        <w:t>Communication</w:t>
      </w:r>
      <w:proofErr w:type="spellEnd"/>
      <w:r w:rsidR="00C0720A" w:rsidRPr="00C0720A">
        <w:rPr>
          <w:rStyle w:val="Hipervnculo"/>
        </w:rPr>
        <w:t xml:space="preserve"> Monitor (LCM 2018-2019)</w:t>
      </w:r>
      <w:r w:rsidRPr="00C0720A">
        <w:rPr>
          <w:rStyle w:val="Hipervnculo"/>
        </w:rPr>
        <w:t>”.</w:t>
      </w:r>
      <w:r w:rsidR="00C0720A">
        <w:fldChar w:fldCharType="end"/>
      </w:r>
    </w:p>
  </w:endnote>
  <w:endnote w:id="5">
    <w:p w:rsidR="001D1853" w:rsidRPr="001D1853" w:rsidRDefault="001D1853">
      <w:pPr>
        <w:pStyle w:val="Textonotaalfinal"/>
        <w:rPr>
          <w:lang w:val="es-MX"/>
        </w:rPr>
      </w:pPr>
      <w:r>
        <w:rPr>
          <w:rStyle w:val="Refdenotaalfinal"/>
        </w:rPr>
        <w:endnoteRef/>
      </w:r>
      <w:r>
        <w:t xml:space="preserve"> “</w:t>
      </w:r>
      <w:r w:rsidRPr="001D1853">
        <w:t>Subvaluada, industria de RP en México</w:t>
      </w:r>
      <w:r>
        <w:t xml:space="preserve">” </w:t>
      </w:r>
      <w:hyperlink r:id="rId3" w:history="1">
        <w:r w:rsidRPr="001D1853">
          <w:rPr>
            <w:rStyle w:val="Hipervnculo"/>
          </w:rPr>
          <w:t>El Financiero Online</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75DC" w:rsidRDefault="00F475DC" w:rsidP="00DF568E">
    <w:pPr>
      <w:pStyle w:val="Encabezado"/>
      <w:ind w:left="7080"/>
    </w:pPr>
  </w:p>
  <w:p w:rsidR="00F475DC" w:rsidRDefault="00F475DC" w:rsidP="00AD3280">
    <w:pPr>
      <w:tabs>
        <w:tab w:val="left" w:pos="5526"/>
      </w:tabs>
    </w:pPr>
    <w:r>
      <w:rPr>
        <w:noProof/>
        <w:lang w:val="es-ES" w:eastAsia="es-ES"/>
      </w:rPr>
      <w:drawing>
        <wp:anchor distT="0" distB="0" distL="114300" distR="114300" simplePos="0" relativeHeight="251679232" behindDoc="1" locked="0" layoutInCell="1" allowOverlap="1">
          <wp:simplePos x="0" y="0"/>
          <wp:positionH relativeFrom="margin">
            <wp:posOffset>-402480</wp:posOffset>
          </wp:positionH>
          <wp:positionV relativeFrom="paragraph">
            <wp:posOffset>282934</wp:posOffset>
          </wp:positionV>
          <wp:extent cx="6849373" cy="437515"/>
          <wp:effectExtent l="0" t="0" r="8890" b="635"/>
          <wp:wrapNone/>
          <wp:docPr id="269" name="Imagen 269"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9373" cy="437515"/>
                  </a:xfrm>
                  <a:prstGeom prst="rect">
                    <a:avLst/>
                  </a:prstGeom>
                  <a:noFill/>
                  <a:ln>
                    <a:noFill/>
                  </a:ln>
                </pic:spPr>
              </pic:pic>
            </a:graphicData>
          </a:graphic>
        </wp:anchor>
      </w:drawing>
    </w:r>
    <w:r>
      <w:tab/>
    </w:r>
  </w:p>
  <w:p w:rsidR="00F475DC" w:rsidRDefault="00F475DC" w:rsidP="00DF568E">
    <w:pPr>
      <w:pStyle w:val="Piedepgina"/>
    </w:pPr>
  </w:p>
  <w:p w:rsidR="00F475DC" w:rsidRDefault="00CD7E0A" w:rsidP="00DF568E">
    <w:pPr>
      <w:pStyle w:val="Piedepgina"/>
    </w:pPr>
    <w:r>
      <w:fldChar w:fldCharType="begin"/>
    </w:r>
    <w:r>
      <w:instrText>PAGE   \* MERGEFORMAT</w:instrText>
    </w:r>
    <w:r>
      <w:fldChar w:fldCharType="separate"/>
    </w:r>
    <w:r>
      <w:rPr>
        <w:noProof/>
      </w:rPr>
      <w:t>2</w:t>
    </w:r>
    <w:r>
      <w:rPr>
        <w:noProof/>
      </w:rPr>
      <w:fldChar w:fldCharType="end"/>
    </w:r>
  </w:p>
  <w:p w:rsidR="00F475DC" w:rsidRDefault="00F475DC">
    <w:pPr>
      <w:pStyle w:val="Piedepgina"/>
    </w:pPr>
    <w:r>
      <w:rPr>
        <w:noProof/>
        <w:lang w:val="es-ES" w:eastAsia="es-ES"/>
      </w:rPr>
      <w:drawing>
        <wp:anchor distT="0" distB="0" distL="114300" distR="114300" simplePos="0" relativeHeight="251671040" behindDoc="1" locked="0" layoutInCell="1" allowOverlap="1">
          <wp:simplePos x="0" y="0"/>
          <wp:positionH relativeFrom="column">
            <wp:posOffset>472440</wp:posOffset>
          </wp:positionH>
          <wp:positionV relativeFrom="paragraph">
            <wp:posOffset>9988550</wp:posOffset>
          </wp:positionV>
          <wp:extent cx="6903085" cy="437515"/>
          <wp:effectExtent l="0" t="0" r="0" b="635"/>
          <wp:wrapNone/>
          <wp:docPr id="270" name="Imagen 270"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s-ES" w:eastAsia="es-ES"/>
      </w:rPr>
      <w:drawing>
        <wp:anchor distT="0" distB="0" distL="114300" distR="114300" simplePos="0" relativeHeight="251667968" behindDoc="1" locked="0" layoutInCell="1" allowOverlap="1">
          <wp:simplePos x="0" y="0"/>
          <wp:positionH relativeFrom="column">
            <wp:posOffset>472440</wp:posOffset>
          </wp:positionH>
          <wp:positionV relativeFrom="paragraph">
            <wp:posOffset>9988550</wp:posOffset>
          </wp:positionV>
          <wp:extent cx="6903085" cy="437515"/>
          <wp:effectExtent l="0" t="0" r="0" b="635"/>
          <wp:wrapNone/>
          <wp:docPr id="271" name="Imagen 271"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s-ES" w:eastAsia="es-ES"/>
      </w:rPr>
      <w:drawing>
        <wp:anchor distT="0" distB="0" distL="114300" distR="114300" simplePos="0" relativeHeight="251664896" behindDoc="1" locked="0" layoutInCell="1" allowOverlap="1">
          <wp:simplePos x="0" y="0"/>
          <wp:positionH relativeFrom="column">
            <wp:posOffset>472440</wp:posOffset>
          </wp:positionH>
          <wp:positionV relativeFrom="paragraph">
            <wp:posOffset>9988550</wp:posOffset>
          </wp:positionV>
          <wp:extent cx="6903085" cy="437515"/>
          <wp:effectExtent l="0" t="0" r="0" b="635"/>
          <wp:wrapNone/>
          <wp:docPr id="272" name="Imagen 272"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s-ES" w:eastAsia="es-ES"/>
      </w:rPr>
      <w:drawing>
        <wp:anchor distT="0" distB="0" distL="114300" distR="114300" simplePos="0" relativeHeight="251661824" behindDoc="1" locked="0" layoutInCell="1" allowOverlap="1">
          <wp:simplePos x="0" y="0"/>
          <wp:positionH relativeFrom="column">
            <wp:posOffset>472440</wp:posOffset>
          </wp:positionH>
          <wp:positionV relativeFrom="paragraph">
            <wp:posOffset>9988550</wp:posOffset>
          </wp:positionV>
          <wp:extent cx="6903085" cy="437515"/>
          <wp:effectExtent l="0" t="0" r="0" b="635"/>
          <wp:wrapNone/>
          <wp:docPr id="273" name="Imagen 273"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s-ES" w:eastAsia="es-ES"/>
      </w:rPr>
      <w:drawing>
        <wp:anchor distT="0" distB="0" distL="114300" distR="114300" simplePos="0" relativeHeight="251658752" behindDoc="1" locked="0" layoutInCell="1" allowOverlap="1">
          <wp:simplePos x="0" y="0"/>
          <wp:positionH relativeFrom="column">
            <wp:posOffset>472440</wp:posOffset>
          </wp:positionH>
          <wp:positionV relativeFrom="paragraph">
            <wp:posOffset>9988550</wp:posOffset>
          </wp:positionV>
          <wp:extent cx="6903085" cy="437515"/>
          <wp:effectExtent l="0" t="0" r="0" b="635"/>
          <wp:wrapNone/>
          <wp:docPr id="274" name="Imagen 274"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77C1" w:rsidRDefault="002977C1" w:rsidP="00A77705">
      <w:pPr>
        <w:spacing w:after="0" w:line="240" w:lineRule="auto"/>
      </w:pPr>
      <w:r>
        <w:separator/>
      </w:r>
    </w:p>
  </w:footnote>
  <w:footnote w:type="continuationSeparator" w:id="0">
    <w:p w:rsidR="002977C1" w:rsidRDefault="002977C1" w:rsidP="00A777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2C99" w:rsidRDefault="00895C91" w:rsidP="00895C91">
    <w:pPr>
      <w:pStyle w:val="Encabezado"/>
      <w:tabs>
        <w:tab w:val="clear" w:pos="4252"/>
        <w:tab w:val="clear" w:pos="8504"/>
        <w:tab w:val="left" w:pos="7075"/>
      </w:tabs>
    </w:pPr>
    <w:r w:rsidRPr="00895C91">
      <w:rPr>
        <w:noProof/>
        <w:lang w:val="es-ES"/>
      </w:rPr>
      <w:drawing>
        <wp:anchor distT="0" distB="0" distL="114300" distR="114300" simplePos="0" relativeHeight="251657216" behindDoc="1" locked="0" layoutInCell="1" allowOverlap="1">
          <wp:simplePos x="0" y="0"/>
          <wp:positionH relativeFrom="column">
            <wp:posOffset>3833357</wp:posOffset>
          </wp:positionH>
          <wp:positionV relativeFrom="paragraph">
            <wp:posOffset>11126</wp:posOffset>
          </wp:positionV>
          <wp:extent cx="2107096" cy="216896"/>
          <wp:effectExtent l="0" t="0" r="0" b="0"/>
          <wp:wrapNone/>
          <wp:docPr id="1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7096" cy="216896"/>
                  </a:xfrm>
                  <a:prstGeom prst="rect">
                    <a:avLst/>
                  </a:prstGeom>
                </pic:spPr>
              </pic:pic>
            </a:graphicData>
          </a:graphic>
          <wp14:sizeRelH relativeFrom="margin">
            <wp14:pctWidth>0</wp14:pctWidth>
          </wp14:sizeRelH>
          <wp14:sizeRelV relativeFrom="margin">
            <wp14:pctHeight>0</wp14:pctHeight>
          </wp14:sizeRelV>
        </wp:anchor>
      </w:drawing>
    </w:r>
    <w:r w:rsidRPr="00895C91">
      <w:rPr>
        <w:noProof/>
        <w:lang w:val="es-ES"/>
      </w:rPr>
      <w:drawing>
        <wp:inline distT="0" distB="0" distL="0" distR="0" wp14:anchorId="47A02B99" wp14:editId="5A3DB6DA">
          <wp:extent cx="1905000" cy="334710"/>
          <wp:effectExtent l="0" t="0" r="0" b="8255"/>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2"/>
                  <a:stretch>
                    <a:fillRect/>
                  </a:stretch>
                </pic:blipFill>
                <pic:spPr>
                  <a:xfrm>
                    <a:off x="0" y="0"/>
                    <a:ext cx="1905000" cy="334710"/>
                  </a:xfrm>
                  <a:prstGeom prst="rect">
                    <a:avLst/>
                  </a:prstGeom>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023E4"/>
    <w:multiLevelType w:val="hybridMultilevel"/>
    <w:tmpl w:val="4FDAD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3C25421"/>
    <w:multiLevelType w:val="hybridMultilevel"/>
    <w:tmpl w:val="64FA5C5C"/>
    <w:lvl w:ilvl="0" w:tplc="19EA7A26">
      <w:start w:val="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7EB38BD"/>
    <w:multiLevelType w:val="hybridMultilevel"/>
    <w:tmpl w:val="C0EA68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8D4232C"/>
    <w:multiLevelType w:val="hybridMultilevel"/>
    <w:tmpl w:val="29261AF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512F48B1"/>
    <w:multiLevelType w:val="hybridMultilevel"/>
    <w:tmpl w:val="3154DCC4"/>
    <w:lvl w:ilvl="0" w:tplc="036A5578">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53F190F"/>
    <w:multiLevelType w:val="hybridMultilevel"/>
    <w:tmpl w:val="374A8242"/>
    <w:lvl w:ilvl="0" w:tplc="040A0001">
      <w:start w:val="1"/>
      <w:numFmt w:val="bullet"/>
      <w:lvlText w:val=""/>
      <w:lvlJc w:val="left"/>
      <w:pPr>
        <w:ind w:left="780" w:hanging="360"/>
      </w:pPr>
      <w:rPr>
        <w:rFonts w:ascii="Symbol" w:hAnsi="Symbol" w:hint="default"/>
      </w:rPr>
    </w:lvl>
    <w:lvl w:ilvl="1" w:tplc="040A0003" w:tentative="1">
      <w:start w:val="1"/>
      <w:numFmt w:val="bullet"/>
      <w:lvlText w:val="o"/>
      <w:lvlJc w:val="left"/>
      <w:pPr>
        <w:ind w:left="1500" w:hanging="360"/>
      </w:pPr>
      <w:rPr>
        <w:rFonts w:ascii="Courier New" w:hAnsi="Courier New" w:hint="default"/>
      </w:rPr>
    </w:lvl>
    <w:lvl w:ilvl="2" w:tplc="040A0005" w:tentative="1">
      <w:start w:val="1"/>
      <w:numFmt w:val="bullet"/>
      <w:lvlText w:val=""/>
      <w:lvlJc w:val="left"/>
      <w:pPr>
        <w:ind w:left="2220" w:hanging="360"/>
      </w:pPr>
      <w:rPr>
        <w:rFonts w:ascii="Wingdings" w:hAnsi="Wingdings" w:hint="default"/>
      </w:rPr>
    </w:lvl>
    <w:lvl w:ilvl="3" w:tplc="040A0001" w:tentative="1">
      <w:start w:val="1"/>
      <w:numFmt w:val="bullet"/>
      <w:lvlText w:val=""/>
      <w:lvlJc w:val="left"/>
      <w:pPr>
        <w:ind w:left="2940" w:hanging="360"/>
      </w:pPr>
      <w:rPr>
        <w:rFonts w:ascii="Symbol" w:hAnsi="Symbol" w:hint="default"/>
      </w:rPr>
    </w:lvl>
    <w:lvl w:ilvl="4" w:tplc="040A0003" w:tentative="1">
      <w:start w:val="1"/>
      <w:numFmt w:val="bullet"/>
      <w:lvlText w:val="o"/>
      <w:lvlJc w:val="left"/>
      <w:pPr>
        <w:ind w:left="3660" w:hanging="360"/>
      </w:pPr>
      <w:rPr>
        <w:rFonts w:ascii="Courier New" w:hAnsi="Courier New" w:hint="default"/>
      </w:rPr>
    </w:lvl>
    <w:lvl w:ilvl="5" w:tplc="040A0005" w:tentative="1">
      <w:start w:val="1"/>
      <w:numFmt w:val="bullet"/>
      <w:lvlText w:val=""/>
      <w:lvlJc w:val="left"/>
      <w:pPr>
        <w:ind w:left="4380" w:hanging="360"/>
      </w:pPr>
      <w:rPr>
        <w:rFonts w:ascii="Wingdings" w:hAnsi="Wingdings" w:hint="default"/>
      </w:rPr>
    </w:lvl>
    <w:lvl w:ilvl="6" w:tplc="040A0001" w:tentative="1">
      <w:start w:val="1"/>
      <w:numFmt w:val="bullet"/>
      <w:lvlText w:val=""/>
      <w:lvlJc w:val="left"/>
      <w:pPr>
        <w:ind w:left="5100" w:hanging="360"/>
      </w:pPr>
      <w:rPr>
        <w:rFonts w:ascii="Symbol" w:hAnsi="Symbol" w:hint="default"/>
      </w:rPr>
    </w:lvl>
    <w:lvl w:ilvl="7" w:tplc="040A0003" w:tentative="1">
      <w:start w:val="1"/>
      <w:numFmt w:val="bullet"/>
      <w:lvlText w:val="o"/>
      <w:lvlJc w:val="left"/>
      <w:pPr>
        <w:ind w:left="5820" w:hanging="360"/>
      </w:pPr>
      <w:rPr>
        <w:rFonts w:ascii="Courier New" w:hAnsi="Courier New" w:hint="default"/>
      </w:rPr>
    </w:lvl>
    <w:lvl w:ilvl="8" w:tplc="040A0005" w:tentative="1">
      <w:start w:val="1"/>
      <w:numFmt w:val="bullet"/>
      <w:lvlText w:val=""/>
      <w:lvlJc w:val="left"/>
      <w:pPr>
        <w:ind w:left="6540" w:hanging="360"/>
      </w:pPr>
      <w:rPr>
        <w:rFonts w:ascii="Wingdings" w:hAnsi="Wingdings" w:hint="default"/>
      </w:rPr>
    </w:lvl>
  </w:abstractNum>
  <w:abstractNum w:abstractNumId="6" w15:restartNumberingAfterBreak="0">
    <w:nsid w:val="70FA64C3"/>
    <w:multiLevelType w:val="hybridMultilevel"/>
    <w:tmpl w:val="C7F233E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72917834"/>
    <w:multiLevelType w:val="hybridMultilevel"/>
    <w:tmpl w:val="7CB0D3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A8108B7"/>
    <w:multiLevelType w:val="hybridMultilevel"/>
    <w:tmpl w:val="FAFEAD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C3606A4"/>
    <w:multiLevelType w:val="hybridMultilevel"/>
    <w:tmpl w:val="D8A016F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6"/>
  </w:num>
  <w:num w:numId="3">
    <w:abstractNumId w:val="0"/>
  </w:num>
  <w:num w:numId="4">
    <w:abstractNumId w:val="8"/>
  </w:num>
  <w:num w:numId="5">
    <w:abstractNumId w:val="4"/>
  </w:num>
  <w:num w:numId="6">
    <w:abstractNumId w:val="2"/>
  </w:num>
  <w:num w:numId="7">
    <w:abstractNumId w:val="7"/>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705"/>
    <w:rsid w:val="0002128B"/>
    <w:rsid w:val="00023436"/>
    <w:rsid w:val="00027EC3"/>
    <w:rsid w:val="00057A4D"/>
    <w:rsid w:val="0007426A"/>
    <w:rsid w:val="000746B8"/>
    <w:rsid w:val="00080D6D"/>
    <w:rsid w:val="0009715E"/>
    <w:rsid w:val="001526E5"/>
    <w:rsid w:val="00161292"/>
    <w:rsid w:val="0017151D"/>
    <w:rsid w:val="00177E40"/>
    <w:rsid w:val="001B63DB"/>
    <w:rsid w:val="001C1E4F"/>
    <w:rsid w:val="001D0DB4"/>
    <w:rsid w:val="001D1853"/>
    <w:rsid w:val="001D7F01"/>
    <w:rsid w:val="00212B24"/>
    <w:rsid w:val="00214EDC"/>
    <w:rsid w:val="00233B53"/>
    <w:rsid w:val="00256E28"/>
    <w:rsid w:val="00293CF3"/>
    <w:rsid w:val="002977C1"/>
    <w:rsid w:val="002A6A5D"/>
    <w:rsid w:val="002B4030"/>
    <w:rsid w:val="002D0F2D"/>
    <w:rsid w:val="003127F1"/>
    <w:rsid w:val="003342C1"/>
    <w:rsid w:val="00345B8A"/>
    <w:rsid w:val="003461DC"/>
    <w:rsid w:val="00360F7C"/>
    <w:rsid w:val="00394BAC"/>
    <w:rsid w:val="003A0F6A"/>
    <w:rsid w:val="003A54E0"/>
    <w:rsid w:val="003A702A"/>
    <w:rsid w:val="003B3A7E"/>
    <w:rsid w:val="003C5A09"/>
    <w:rsid w:val="004040AC"/>
    <w:rsid w:val="00416EDF"/>
    <w:rsid w:val="00443589"/>
    <w:rsid w:val="0046177E"/>
    <w:rsid w:val="00473567"/>
    <w:rsid w:val="004A1772"/>
    <w:rsid w:val="004B686B"/>
    <w:rsid w:val="004E4D5C"/>
    <w:rsid w:val="004E56A8"/>
    <w:rsid w:val="0050132F"/>
    <w:rsid w:val="005121E5"/>
    <w:rsid w:val="00515DD7"/>
    <w:rsid w:val="0053305C"/>
    <w:rsid w:val="00543B12"/>
    <w:rsid w:val="00561501"/>
    <w:rsid w:val="00564519"/>
    <w:rsid w:val="00594A35"/>
    <w:rsid w:val="005A4108"/>
    <w:rsid w:val="005D2647"/>
    <w:rsid w:val="005D5E9C"/>
    <w:rsid w:val="005F1CDE"/>
    <w:rsid w:val="00611CF4"/>
    <w:rsid w:val="00650585"/>
    <w:rsid w:val="006A16E4"/>
    <w:rsid w:val="006B1A59"/>
    <w:rsid w:val="006B37CF"/>
    <w:rsid w:val="006E3D3B"/>
    <w:rsid w:val="006E66B7"/>
    <w:rsid w:val="006F0F8C"/>
    <w:rsid w:val="007053B5"/>
    <w:rsid w:val="007124B2"/>
    <w:rsid w:val="007160D2"/>
    <w:rsid w:val="007371BB"/>
    <w:rsid w:val="00737A25"/>
    <w:rsid w:val="00737B5F"/>
    <w:rsid w:val="007B47A8"/>
    <w:rsid w:val="007E5B48"/>
    <w:rsid w:val="008079BA"/>
    <w:rsid w:val="008114B0"/>
    <w:rsid w:val="00853279"/>
    <w:rsid w:val="008606DD"/>
    <w:rsid w:val="00895C91"/>
    <w:rsid w:val="008A4166"/>
    <w:rsid w:val="008B2A31"/>
    <w:rsid w:val="008B7E2E"/>
    <w:rsid w:val="008C2F8A"/>
    <w:rsid w:val="008C76E7"/>
    <w:rsid w:val="008D7BB6"/>
    <w:rsid w:val="008F642B"/>
    <w:rsid w:val="008F6DF3"/>
    <w:rsid w:val="009148D9"/>
    <w:rsid w:val="009412B7"/>
    <w:rsid w:val="009569F2"/>
    <w:rsid w:val="00984672"/>
    <w:rsid w:val="00991BDA"/>
    <w:rsid w:val="009968E8"/>
    <w:rsid w:val="009C0268"/>
    <w:rsid w:val="009D7324"/>
    <w:rsid w:val="00A05D2A"/>
    <w:rsid w:val="00A15458"/>
    <w:rsid w:val="00A34B0E"/>
    <w:rsid w:val="00A37C58"/>
    <w:rsid w:val="00A45725"/>
    <w:rsid w:val="00A77705"/>
    <w:rsid w:val="00A94E2B"/>
    <w:rsid w:val="00AB0CA1"/>
    <w:rsid w:val="00AC7E5F"/>
    <w:rsid w:val="00AD3280"/>
    <w:rsid w:val="00AD3344"/>
    <w:rsid w:val="00B12CE2"/>
    <w:rsid w:val="00B20393"/>
    <w:rsid w:val="00B50A86"/>
    <w:rsid w:val="00B6154E"/>
    <w:rsid w:val="00B91FB9"/>
    <w:rsid w:val="00BA02DD"/>
    <w:rsid w:val="00BC777D"/>
    <w:rsid w:val="00BD5927"/>
    <w:rsid w:val="00C00CA1"/>
    <w:rsid w:val="00C06D07"/>
    <w:rsid w:val="00C0720A"/>
    <w:rsid w:val="00C80A98"/>
    <w:rsid w:val="00C97A18"/>
    <w:rsid w:val="00CC2245"/>
    <w:rsid w:val="00CC2991"/>
    <w:rsid w:val="00CD7E0A"/>
    <w:rsid w:val="00CE0C60"/>
    <w:rsid w:val="00CE3262"/>
    <w:rsid w:val="00CF0C94"/>
    <w:rsid w:val="00D234DC"/>
    <w:rsid w:val="00D23E77"/>
    <w:rsid w:val="00D32EC1"/>
    <w:rsid w:val="00D35F0D"/>
    <w:rsid w:val="00D54386"/>
    <w:rsid w:val="00D54ADF"/>
    <w:rsid w:val="00D82E83"/>
    <w:rsid w:val="00DA225E"/>
    <w:rsid w:val="00DD7816"/>
    <w:rsid w:val="00DE6A44"/>
    <w:rsid w:val="00DF568E"/>
    <w:rsid w:val="00DF6D5E"/>
    <w:rsid w:val="00E07B0C"/>
    <w:rsid w:val="00E22A4A"/>
    <w:rsid w:val="00E30208"/>
    <w:rsid w:val="00E65C1E"/>
    <w:rsid w:val="00E672FF"/>
    <w:rsid w:val="00E83CD2"/>
    <w:rsid w:val="00E9621A"/>
    <w:rsid w:val="00EA5EBF"/>
    <w:rsid w:val="00EB609D"/>
    <w:rsid w:val="00ED2462"/>
    <w:rsid w:val="00ED39B0"/>
    <w:rsid w:val="00EE2C99"/>
    <w:rsid w:val="00EF1D48"/>
    <w:rsid w:val="00EF3291"/>
    <w:rsid w:val="00F14236"/>
    <w:rsid w:val="00F14B56"/>
    <w:rsid w:val="00F20CB0"/>
    <w:rsid w:val="00F32186"/>
    <w:rsid w:val="00F378AF"/>
    <w:rsid w:val="00F44DFA"/>
    <w:rsid w:val="00F475DC"/>
    <w:rsid w:val="00F9419A"/>
    <w:rsid w:val="00FA402D"/>
    <w:rsid w:val="00FB1F2E"/>
    <w:rsid w:val="00FD51A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C21984"/>
  <w15:docId w15:val="{EDA471BF-DE74-4E3B-A018-5D8878D5D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A5D"/>
    <w:rPr>
      <w:lang w:val="es-ES_tradnl"/>
    </w:rPr>
  </w:style>
  <w:style w:type="paragraph" w:styleId="Ttulo1">
    <w:name w:val="heading 1"/>
    <w:basedOn w:val="Normal"/>
    <w:next w:val="Normal"/>
    <w:link w:val="Ttulo1Car"/>
    <w:uiPriority w:val="9"/>
    <w:qFormat/>
    <w:rsid w:val="00A15458"/>
    <w:pPr>
      <w:keepNext/>
      <w:spacing w:after="0" w:line="240" w:lineRule="auto"/>
      <w:ind w:left="2520"/>
      <w:jc w:val="center"/>
      <w:outlineLvl w:val="0"/>
    </w:pPr>
    <w:rPr>
      <w:rFonts w:ascii="Arial" w:eastAsia="Times New Roman" w:hAnsi="Arial" w:cs="Arial"/>
      <w:sz w:val="32"/>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77705"/>
    <w:pPr>
      <w:tabs>
        <w:tab w:val="center" w:pos="4252"/>
        <w:tab w:val="right" w:pos="8504"/>
      </w:tabs>
      <w:spacing w:after="0" w:line="240" w:lineRule="auto"/>
    </w:pPr>
  </w:style>
  <w:style w:type="character" w:customStyle="1" w:styleId="EncabezadoCar">
    <w:name w:val="Encabezado Car"/>
    <w:basedOn w:val="Fuentedeprrafopredeter"/>
    <w:link w:val="Encabezado"/>
    <w:rsid w:val="00A77705"/>
    <w:rPr>
      <w:lang w:val="es-ES_tradnl"/>
    </w:rPr>
  </w:style>
  <w:style w:type="paragraph" w:styleId="Piedepgina">
    <w:name w:val="footer"/>
    <w:basedOn w:val="Normal"/>
    <w:link w:val="PiedepginaCar"/>
    <w:uiPriority w:val="99"/>
    <w:unhideWhenUsed/>
    <w:rsid w:val="00A777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77705"/>
    <w:rPr>
      <w:lang w:val="es-ES_tradnl"/>
    </w:rPr>
  </w:style>
  <w:style w:type="paragraph" w:styleId="Textodeglobo">
    <w:name w:val="Balloon Text"/>
    <w:basedOn w:val="Normal"/>
    <w:link w:val="TextodegloboCar"/>
    <w:uiPriority w:val="99"/>
    <w:semiHidden/>
    <w:unhideWhenUsed/>
    <w:rsid w:val="00A7770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7705"/>
    <w:rPr>
      <w:rFonts w:ascii="Tahoma" w:hAnsi="Tahoma" w:cs="Tahoma"/>
      <w:sz w:val="16"/>
      <w:szCs w:val="16"/>
      <w:lang w:val="es-ES_tradnl"/>
    </w:rPr>
  </w:style>
  <w:style w:type="paragraph" w:styleId="Prrafodelista">
    <w:name w:val="List Paragraph"/>
    <w:basedOn w:val="Normal"/>
    <w:uiPriority w:val="34"/>
    <w:qFormat/>
    <w:rsid w:val="00BC777D"/>
    <w:pPr>
      <w:ind w:left="720"/>
      <w:contextualSpacing/>
    </w:pPr>
  </w:style>
  <w:style w:type="character" w:styleId="Hipervnculo">
    <w:name w:val="Hyperlink"/>
    <w:basedOn w:val="Fuentedeprrafopredeter"/>
    <w:uiPriority w:val="99"/>
    <w:unhideWhenUsed/>
    <w:rsid w:val="0053305C"/>
    <w:rPr>
      <w:color w:val="0000FF"/>
      <w:u w:val="single"/>
    </w:rPr>
  </w:style>
  <w:style w:type="character" w:styleId="CitaHTML">
    <w:name w:val="HTML Cite"/>
    <w:basedOn w:val="Fuentedeprrafopredeter"/>
    <w:uiPriority w:val="99"/>
    <w:semiHidden/>
    <w:unhideWhenUsed/>
    <w:rsid w:val="0053305C"/>
    <w:rPr>
      <w:i/>
      <w:iCs/>
    </w:rPr>
  </w:style>
  <w:style w:type="character" w:customStyle="1" w:styleId="Ttulo1Car">
    <w:name w:val="Título 1 Car"/>
    <w:basedOn w:val="Fuentedeprrafopredeter"/>
    <w:link w:val="Ttulo1"/>
    <w:uiPriority w:val="9"/>
    <w:rsid w:val="00A15458"/>
    <w:rPr>
      <w:rFonts w:ascii="Arial" w:eastAsia="Times New Roman" w:hAnsi="Arial" w:cs="Arial"/>
      <w:sz w:val="32"/>
      <w:szCs w:val="24"/>
    </w:rPr>
  </w:style>
  <w:style w:type="paragraph" w:styleId="Textonotaalfinal">
    <w:name w:val="endnote text"/>
    <w:basedOn w:val="Normal"/>
    <w:link w:val="TextonotaalfinalCar"/>
    <w:uiPriority w:val="99"/>
    <w:semiHidden/>
    <w:unhideWhenUsed/>
    <w:rsid w:val="00080D6D"/>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080D6D"/>
    <w:rPr>
      <w:sz w:val="20"/>
      <w:szCs w:val="20"/>
      <w:lang w:val="es-ES_tradnl"/>
    </w:rPr>
  </w:style>
  <w:style w:type="character" w:styleId="Refdenotaalfinal">
    <w:name w:val="endnote reference"/>
    <w:basedOn w:val="Fuentedeprrafopredeter"/>
    <w:uiPriority w:val="99"/>
    <w:semiHidden/>
    <w:unhideWhenUsed/>
    <w:rsid w:val="00080D6D"/>
    <w:rPr>
      <w:vertAlign w:val="superscript"/>
    </w:rPr>
  </w:style>
  <w:style w:type="character" w:styleId="Mencinsinresolver">
    <w:name w:val="Unresolved Mention"/>
    <w:basedOn w:val="Fuentedeprrafopredeter"/>
    <w:uiPriority w:val="99"/>
    <w:semiHidden/>
    <w:unhideWhenUsed/>
    <w:rsid w:val="00080D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63040">
      <w:bodyDiv w:val="1"/>
      <w:marLeft w:val="0"/>
      <w:marRight w:val="0"/>
      <w:marTop w:val="0"/>
      <w:marBottom w:val="0"/>
      <w:divBdr>
        <w:top w:val="none" w:sz="0" w:space="0" w:color="auto"/>
        <w:left w:val="none" w:sz="0" w:space="0" w:color="auto"/>
        <w:bottom w:val="none" w:sz="0" w:space="0" w:color="auto"/>
        <w:right w:val="none" w:sz="0" w:space="0" w:color="auto"/>
      </w:divBdr>
      <w:divsChild>
        <w:div w:id="1661272919">
          <w:marLeft w:val="274"/>
          <w:marRight w:val="0"/>
          <w:marTop w:val="760"/>
          <w:marBottom w:val="0"/>
          <w:divBdr>
            <w:top w:val="none" w:sz="0" w:space="0" w:color="auto"/>
            <w:left w:val="none" w:sz="0" w:space="0" w:color="auto"/>
            <w:bottom w:val="none" w:sz="0" w:space="0" w:color="auto"/>
            <w:right w:val="none" w:sz="0" w:space="0" w:color="auto"/>
          </w:divBdr>
        </w:div>
        <w:div w:id="472915306">
          <w:marLeft w:val="274"/>
          <w:marRight w:val="0"/>
          <w:marTop w:val="760"/>
          <w:marBottom w:val="0"/>
          <w:divBdr>
            <w:top w:val="none" w:sz="0" w:space="0" w:color="auto"/>
            <w:left w:val="none" w:sz="0" w:space="0" w:color="auto"/>
            <w:bottom w:val="none" w:sz="0" w:space="0" w:color="auto"/>
            <w:right w:val="none" w:sz="0" w:space="0" w:color="auto"/>
          </w:divBdr>
        </w:div>
        <w:div w:id="1082141624">
          <w:marLeft w:val="274"/>
          <w:marRight w:val="0"/>
          <w:marTop w:val="760"/>
          <w:marBottom w:val="0"/>
          <w:divBdr>
            <w:top w:val="none" w:sz="0" w:space="0" w:color="auto"/>
            <w:left w:val="none" w:sz="0" w:space="0" w:color="auto"/>
            <w:bottom w:val="none" w:sz="0" w:space="0" w:color="auto"/>
            <w:right w:val="none" w:sz="0" w:space="0" w:color="auto"/>
          </w:divBdr>
        </w:div>
        <w:div w:id="1470051278">
          <w:marLeft w:val="274"/>
          <w:marRight w:val="0"/>
          <w:marTop w:val="760"/>
          <w:marBottom w:val="0"/>
          <w:divBdr>
            <w:top w:val="none" w:sz="0" w:space="0" w:color="auto"/>
            <w:left w:val="none" w:sz="0" w:space="0" w:color="auto"/>
            <w:bottom w:val="none" w:sz="0" w:space="0" w:color="auto"/>
            <w:right w:val="none" w:sz="0" w:space="0" w:color="auto"/>
          </w:divBdr>
        </w:div>
      </w:divsChild>
    </w:div>
    <w:div w:id="87121806">
      <w:bodyDiv w:val="1"/>
      <w:marLeft w:val="0"/>
      <w:marRight w:val="0"/>
      <w:marTop w:val="0"/>
      <w:marBottom w:val="0"/>
      <w:divBdr>
        <w:top w:val="none" w:sz="0" w:space="0" w:color="auto"/>
        <w:left w:val="none" w:sz="0" w:space="0" w:color="auto"/>
        <w:bottom w:val="none" w:sz="0" w:space="0" w:color="auto"/>
        <w:right w:val="none" w:sz="0" w:space="0" w:color="auto"/>
      </w:divBdr>
    </w:div>
    <w:div w:id="335504226">
      <w:bodyDiv w:val="1"/>
      <w:marLeft w:val="0"/>
      <w:marRight w:val="0"/>
      <w:marTop w:val="0"/>
      <w:marBottom w:val="0"/>
      <w:divBdr>
        <w:top w:val="none" w:sz="0" w:space="0" w:color="auto"/>
        <w:left w:val="none" w:sz="0" w:space="0" w:color="auto"/>
        <w:bottom w:val="none" w:sz="0" w:space="0" w:color="auto"/>
        <w:right w:val="none" w:sz="0" w:space="0" w:color="auto"/>
      </w:divBdr>
      <w:divsChild>
        <w:div w:id="371154054">
          <w:marLeft w:val="662"/>
          <w:marRight w:val="0"/>
          <w:marTop w:val="500"/>
          <w:marBottom w:val="0"/>
          <w:divBdr>
            <w:top w:val="none" w:sz="0" w:space="0" w:color="auto"/>
            <w:left w:val="none" w:sz="0" w:space="0" w:color="auto"/>
            <w:bottom w:val="none" w:sz="0" w:space="0" w:color="auto"/>
            <w:right w:val="none" w:sz="0" w:space="0" w:color="auto"/>
          </w:divBdr>
        </w:div>
      </w:divsChild>
    </w:div>
    <w:div w:id="384960196">
      <w:bodyDiv w:val="1"/>
      <w:marLeft w:val="0"/>
      <w:marRight w:val="0"/>
      <w:marTop w:val="0"/>
      <w:marBottom w:val="0"/>
      <w:divBdr>
        <w:top w:val="none" w:sz="0" w:space="0" w:color="auto"/>
        <w:left w:val="none" w:sz="0" w:space="0" w:color="auto"/>
        <w:bottom w:val="none" w:sz="0" w:space="0" w:color="auto"/>
        <w:right w:val="none" w:sz="0" w:space="0" w:color="auto"/>
      </w:divBdr>
    </w:div>
    <w:div w:id="400490526">
      <w:bodyDiv w:val="1"/>
      <w:marLeft w:val="0"/>
      <w:marRight w:val="0"/>
      <w:marTop w:val="0"/>
      <w:marBottom w:val="0"/>
      <w:divBdr>
        <w:top w:val="none" w:sz="0" w:space="0" w:color="auto"/>
        <w:left w:val="none" w:sz="0" w:space="0" w:color="auto"/>
        <w:bottom w:val="none" w:sz="0" w:space="0" w:color="auto"/>
        <w:right w:val="none" w:sz="0" w:space="0" w:color="auto"/>
      </w:divBdr>
    </w:div>
    <w:div w:id="599489526">
      <w:bodyDiv w:val="1"/>
      <w:marLeft w:val="0"/>
      <w:marRight w:val="0"/>
      <w:marTop w:val="0"/>
      <w:marBottom w:val="0"/>
      <w:divBdr>
        <w:top w:val="none" w:sz="0" w:space="0" w:color="auto"/>
        <w:left w:val="none" w:sz="0" w:space="0" w:color="auto"/>
        <w:bottom w:val="none" w:sz="0" w:space="0" w:color="auto"/>
        <w:right w:val="none" w:sz="0" w:space="0" w:color="auto"/>
      </w:divBdr>
    </w:div>
    <w:div w:id="600572466">
      <w:bodyDiv w:val="1"/>
      <w:marLeft w:val="0"/>
      <w:marRight w:val="0"/>
      <w:marTop w:val="0"/>
      <w:marBottom w:val="0"/>
      <w:divBdr>
        <w:top w:val="none" w:sz="0" w:space="0" w:color="auto"/>
        <w:left w:val="none" w:sz="0" w:space="0" w:color="auto"/>
        <w:bottom w:val="none" w:sz="0" w:space="0" w:color="auto"/>
        <w:right w:val="none" w:sz="0" w:space="0" w:color="auto"/>
      </w:divBdr>
    </w:div>
    <w:div w:id="842014720">
      <w:bodyDiv w:val="1"/>
      <w:marLeft w:val="0"/>
      <w:marRight w:val="0"/>
      <w:marTop w:val="0"/>
      <w:marBottom w:val="0"/>
      <w:divBdr>
        <w:top w:val="none" w:sz="0" w:space="0" w:color="auto"/>
        <w:left w:val="none" w:sz="0" w:space="0" w:color="auto"/>
        <w:bottom w:val="none" w:sz="0" w:space="0" w:color="auto"/>
        <w:right w:val="none" w:sz="0" w:space="0" w:color="auto"/>
      </w:divBdr>
    </w:div>
    <w:div w:id="883950858">
      <w:bodyDiv w:val="1"/>
      <w:marLeft w:val="0"/>
      <w:marRight w:val="0"/>
      <w:marTop w:val="0"/>
      <w:marBottom w:val="0"/>
      <w:divBdr>
        <w:top w:val="none" w:sz="0" w:space="0" w:color="auto"/>
        <w:left w:val="none" w:sz="0" w:space="0" w:color="auto"/>
        <w:bottom w:val="none" w:sz="0" w:space="0" w:color="auto"/>
        <w:right w:val="none" w:sz="0" w:space="0" w:color="auto"/>
      </w:divBdr>
    </w:div>
    <w:div w:id="1065959018">
      <w:bodyDiv w:val="1"/>
      <w:marLeft w:val="0"/>
      <w:marRight w:val="0"/>
      <w:marTop w:val="0"/>
      <w:marBottom w:val="0"/>
      <w:divBdr>
        <w:top w:val="none" w:sz="0" w:space="0" w:color="auto"/>
        <w:left w:val="none" w:sz="0" w:space="0" w:color="auto"/>
        <w:bottom w:val="none" w:sz="0" w:space="0" w:color="auto"/>
        <w:right w:val="none" w:sz="0" w:space="0" w:color="auto"/>
      </w:divBdr>
    </w:div>
    <w:div w:id="1149400314">
      <w:bodyDiv w:val="1"/>
      <w:marLeft w:val="0"/>
      <w:marRight w:val="0"/>
      <w:marTop w:val="0"/>
      <w:marBottom w:val="0"/>
      <w:divBdr>
        <w:top w:val="none" w:sz="0" w:space="0" w:color="auto"/>
        <w:left w:val="none" w:sz="0" w:space="0" w:color="auto"/>
        <w:bottom w:val="none" w:sz="0" w:space="0" w:color="auto"/>
        <w:right w:val="none" w:sz="0" w:space="0" w:color="auto"/>
      </w:divBdr>
      <w:divsChild>
        <w:div w:id="2048482736">
          <w:marLeft w:val="662"/>
          <w:marRight w:val="0"/>
          <w:marTop w:val="500"/>
          <w:marBottom w:val="0"/>
          <w:divBdr>
            <w:top w:val="none" w:sz="0" w:space="0" w:color="auto"/>
            <w:left w:val="none" w:sz="0" w:space="0" w:color="auto"/>
            <w:bottom w:val="none" w:sz="0" w:space="0" w:color="auto"/>
            <w:right w:val="none" w:sz="0" w:space="0" w:color="auto"/>
          </w:divBdr>
        </w:div>
      </w:divsChild>
    </w:div>
    <w:div w:id="1336688887">
      <w:bodyDiv w:val="1"/>
      <w:marLeft w:val="0"/>
      <w:marRight w:val="0"/>
      <w:marTop w:val="0"/>
      <w:marBottom w:val="0"/>
      <w:divBdr>
        <w:top w:val="none" w:sz="0" w:space="0" w:color="auto"/>
        <w:left w:val="none" w:sz="0" w:space="0" w:color="auto"/>
        <w:bottom w:val="none" w:sz="0" w:space="0" w:color="auto"/>
        <w:right w:val="none" w:sz="0" w:space="0" w:color="auto"/>
      </w:divBdr>
    </w:div>
    <w:div w:id="1380321825">
      <w:bodyDiv w:val="1"/>
      <w:marLeft w:val="0"/>
      <w:marRight w:val="0"/>
      <w:marTop w:val="0"/>
      <w:marBottom w:val="0"/>
      <w:divBdr>
        <w:top w:val="none" w:sz="0" w:space="0" w:color="auto"/>
        <w:left w:val="none" w:sz="0" w:space="0" w:color="auto"/>
        <w:bottom w:val="none" w:sz="0" w:space="0" w:color="auto"/>
        <w:right w:val="none" w:sz="0" w:space="0" w:color="auto"/>
      </w:divBdr>
    </w:div>
    <w:div w:id="1431925850">
      <w:bodyDiv w:val="1"/>
      <w:marLeft w:val="0"/>
      <w:marRight w:val="0"/>
      <w:marTop w:val="0"/>
      <w:marBottom w:val="0"/>
      <w:divBdr>
        <w:top w:val="none" w:sz="0" w:space="0" w:color="auto"/>
        <w:left w:val="none" w:sz="0" w:space="0" w:color="auto"/>
        <w:bottom w:val="none" w:sz="0" w:space="0" w:color="auto"/>
        <w:right w:val="none" w:sz="0" w:space="0" w:color="auto"/>
      </w:divBdr>
    </w:div>
    <w:div w:id="1455178582">
      <w:bodyDiv w:val="1"/>
      <w:marLeft w:val="0"/>
      <w:marRight w:val="0"/>
      <w:marTop w:val="0"/>
      <w:marBottom w:val="0"/>
      <w:divBdr>
        <w:top w:val="none" w:sz="0" w:space="0" w:color="auto"/>
        <w:left w:val="none" w:sz="0" w:space="0" w:color="auto"/>
        <w:bottom w:val="none" w:sz="0" w:space="0" w:color="auto"/>
        <w:right w:val="none" w:sz="0" w:space="0" w:color="auto"/>
      </w:divBdr>
      <w:divsChild>
        <w:div w:id="494955813">
          <w:marLeft w:val="662"/>
          <w:marRight w:val="0"/>
          <w:marTop w:val="500"/>
          <w:marBottom w:val="0"/>
          <w:divBdr>
            <w:top w:val="none" w:sz="0" w:space="0" w:color="auto"/>
            <w:left w:val="none" w:sz="0" w:space="0" w:color="auto"/>
            <w:bottom w:val="none" w:sz="0" w:space="0" w:color="auto"/>
            <w:right w:val="none" w:sz="0" w:space="0" w:color="auto"/>
          </w:divBdr>
        </w:div>
      </w:divsChild>
    </w:div>
    <w:div w:id="1575628110">
      <w:bodyDiv w:val="1"/>
      <w:marLeft w:val="0"/>
      <w:marRight w:val="0"/>
      <w:marTop w:val="0"/>
      <w:marBottom w:val="0"/>
      <w:divBdr>
        <w:top w:val="none" w:sz="0" w:space="0" w:color="auto"/>
        <w:left w:val="none" w:sz="0" w:space="0" w:color="auto"/>
        <w:bottom w:val="none" w:sz="0" w:space="0" w:color="auto"/>
        <w:right w:val="none" w:sz="0" w:space="0" w:color="auto"/>
      </w:divBdr>
      <w:divsChild>
        <w:div w:id="1371144894">
          <w:marLeft w:val="662"/>
          <w:marRight w:val="0"/>
          <w:marTop w:val="500"/>
          <w:marBottom w:val="0"/>
          <w:divBdr>
            <w:top w:val="none" w:sz="0" w:space="0" w:color="auto"/>
            <w:left w:val="none" w:sz="0" w:space="0" w:color="auto"/>
            <w:bottom w:val="none" w:sz="0" w:space="0" w:color="auto"/>
            <w:right w:val="none" w:sz="0" w:space="0" w:color="auto"/>
          </w:divBdr>
        </w:div>
        <w:div w:id="103769701">
          <w:marLeft w:val="1483"/>
          <w:marRight w:val="0"/>
          <w:marTop w:val="500"/>
          <w:marBottom w:val="0"/>
          <w:divBdr>
            <w:top w:val="none" w:sz="0" w:space="0" w:color="auto"/>
            <w:left w:val="none" w:sz="0" w:space="0" w:color="auto"/>
            <w:bottom w:val="none" w:sz="0" w:space="0" w:color="auto"/>
            <w:right w:val="none" w:sz="0" w:space="0" w:color="auto"/>
          </w:divBdr>
        </w:div>
        <w:div w:id="112528070">
          <w:marLeft w:val="1483"/>
          <w:marRight w:val="0"/>
          <w:marTop w:val="500"/>
          <w:marBottom w:val="0"/>
          <w:divBdr>
            <w:top w:val="none" w:sz="0" w:space="0" w:color="auto"/>
            <w:left w:val="none" w:sz="0" w:space="0" w:color="auto"/>
            <w:bottom w:val="none" w:sz="0" w:space="0" w:color="auto"/>
            <w:right w:val="none" w:sz="0" w:space="0" w:color="auto"/>
          </w:divBdr>
        </w:div>
        <w:div w:id="870260666">
          <w:marLeft w:val="1483"/>
          <w:marRight w:val="0"/>
          <w:marTop w:val="500"/>
          <w:marBottom w:val="0"/>
          <w:divBdr>
            <w:top w:val="none" w:sz="0" w:space="0" w:color="auto"/>
            <w:left w:val="none" w:sz="0" w:space="0" w:color="auto"/>
            <w:bottom w:val="none" w:sz="0" w:space="0" w:color="auto"/>
            <w:right w:val="none" w:sz="0" w:space="0" w:color="auto"/>
          </w:divBdr>
        </w:div>
        <w:div w:id="548422847">
          <w:marLeft w:val="1483"/>
          <w:marRight w:val="0"/>
          <w:marTop w:val="500"/>
          <w:marBottom w:val="0"/>
          <w:divBdr>
            <w:top w:val="none" w:sz="0" w:space="0" w:color="auto"/>
            <w:left w:val="none" w:sz="0" w:space="0" w:color="auto"/>
            <w:bottom w:val="none" w:sz="0" w:space="0" w:color="auto"/>
            <w:right w:val="none" w:sz="0" w:space="0" w:color="auto"/>
          </w:divBdr>
        </w:div>
      </w:divsChild>
    </w:div>
    <w:div w:id="1681815340">
      <w:bodyDiv w:val="1"/>
      <w:marLeft w:val="0"/>
      <w:marRight w:val="0"/>
      <w:marTop w:val="0"/>
      <w:marBottom w:val="0"/>
      <w:divBdr>
        <w:top w:val="none" w:sz="0" w:space="0" w:color="auto"/>
        <w:left w:val="none" w:sz="0" w:space="0" w:color="auto"/>
        <w:bottom w:val="none" w:sz="0" w:space="0" w:color="auto"/>
        <w:right w:val="none" w:sz="0" w:space="0" w:color="auto"/>
      </w:divBdr>
    </w:div>
    <w:div w:id="1790657322">
      <w:bodyDiv w:val="1"/>
      <w:marLeft w:val="0"/>
      <w:marRight w:val="0"/>
      <w:marTop w:val="0"/>
      <w:marBottom w:val="0"/>
      <w:divBdr>
        <w:top w:val="none" w:sz="0" w:space="0" w:color="auto"/>
        <w:left w:val="none" w:sz="0" w:space="0" w:color="auto"/>
        <w:bottom w:val="none" w:sz="0" w:space="0" w:color="auto"/>
        <w:right w:val="none" w:sz="0" w:space="0" w:color="auto"/>
      </w:divBdr>
      <w:divsChild>
        <w:div w:id="2127041620">
          <w:marLeft w:val="662"/>
          <w:marRight w:val="0"/>
          <w:marTop w:val="500"/>
          <w:marBottom w:val="0"/>
          <w:divBdr>
            <w:top w:val="none" w:sz="0" w:space="0" w:color="auto"/>
            <w:left w:val="none" w:sz="0" w:space="0" w:color="auto"/>
            <w:bottom w:val="none" w:sz="0" w:space="0" w:color="auto"/>
            <w:right w:val="none" w:sz="0" w:space="0" w:color="auto"/>
          </w:divBdr>
        </w:div>
      </w:divsChild>
    </w:div>
    <w:div w:id="1797790868">
      <w:bodyDiv w:val="1"/>
      <w:marLeft w:val="0"/>
      <w:marRight w:val="0"/>
      <w:marTop w:val="0"/>
      <w:marBottom w:val="0"/>
      <w:divBdr>
        <w:top w:val="none" w:sz="0" w:space="0" w:color="auto"/>
        <w:left w:val="none" w:sz="0" w:space="0" w:color="auto"/>
        <w:bottom w:val="none" w:sz="0" w:space="0" w:color="auto"/>
        <w:right w:val="none" w:sz="0" w:space="0" w:color="auto"/>
      </w:divBdr>
    </w:div>
    <w:div w:id="1893350879">
      <w:bodyDiv w:val="1"/>
      <w:marLeft w:val="0"/>
      <w:marRight w:val="0"/>
      <w:marTop w:val="0"/>
      <w:marBottom w:val="0"/>
      <w:divBdr>
        <w:top w:val="none" w:sz="0" w:space="0" w:color="auto"/>
        <w:left w:val="none" w:sz="0" w:space="0" w:color="auto"/>
        <w:bottom w:val="none" w:sz="0" w:space="0" w:color="auto"/>
        <w:right w:val="none" w:sz="0" w:space="0" w:color="auto"/>
      </w:divBdr>
    </w:div>
    <w:div w:id="1926525720">
      <w:bodyDiv w:val="1"/>
      <w:marLeft w:val="0"/>
      <w:marRight w:val="0"/>
      <w:marTop w:val="0"/>
      <w:marBottom w:val="0"/>
      <w:divBdr>
        <w:top w:val="none" w:sz="0" w:space="0" w:color="auto"/>
        <w:left w:val="none" w:sz="0" w:space="0" w:color="auto"/>
        <w:bottom w:val="none" w:sz="0" w:space="0" w:color="auto"/>
        <w:right w:val="none" w:sz="0" w:space="0" w:color="auto"/>
      </w:divBdr>
      <w:divsChild>
        <w:div w:id="1299260197">
          <w:marLeft w:val="274"/>
          <w:marRight w:val="0"/>
          <w:marTop w:val="760"/>
          <w:marBottom w:val="0"/>
          <w:divBdr>
            <w:top w:val="none" w:sz="0" w:space="0" w:color="auto"/>
            <w:left w:val="none" w:sz="0" w:space="0" w:color="auto"/>
            <w:bottom w:val="none" w:sz="0" w:space="0" w:color="auto"/>
            <w:right w:val="none" w:sz="0" w:space="0" w:color="auto"/>
          </w:divBdr>
        </w:div>
        <w:div w:id="2049724205">
          <w:marLeft w:val="274"/>
          <w:marRight w:val="0"/>
          <w:marTop w:val="760"/>
          <w:marBottom w:val="0"/>
          <w:divBdr>
            <w:top w:val="none" w:sz="0" w:space="0" w:color="auto"/>
            <w:left w:val="none" w:sz="0" w:space="0" w:color="auto"/>
            <w:bottom w:val="none" w:sz="0" w:space="0" w:color="auto"/>
            <w:right w:val="none" w:sz="0" w:space="0" w:color="auto"/>
          </w:divBdr>
        </w:div>
        <w:div w:id="658265521">
          <w:marLeft w:val="274"/>
          <w:marRight w:val="0"/>
          <w:marTop w:val="760"/>
          <w:marBottom w:val="0"/>
          <w:divBdr>
            <w:top w:val="none" w:sz="0" w:space="0" w:color="auto"/>
            <w:left w:val="none" w:sz="0" w:space="0" w:color="auto"/>
            <w:bottom w:val="none" w:sz="0" w:space="0" w:color="auto"/>
            <w:right w:val="none" w:sz="0" w:space="0" w:color="auto"/>
          </w:divBdr>
        </w:div>
        <w:div w:id="1626235006">
          <w:marLeft w:val="274"/>
          <w:marRight w:val="0"/>
          <w:marTop w:val="760"/>
          <w:marBottom w:val="0"/>
          <w:divBdr>
            <w:top w:val="none" w:sz="0" w:space="0" w:color="auto"/>
            <w:left w:val="none" w:sz="0" w:space="0" w:color="auto"/>
            <w:bottom w:val="none" w:sz="0" w:space="0" w:color="auto"/>
            <w:right w:val="none" w:sz="0" w:space="0" w:color="auto"/>
          </w:divBdr>
        </w:div>
      </w:divsChild>
    </w:div>
    <w:div w:id="1947034726">
      <w:bodyDiv w:val="1"/>
      <w:marLeft w:val="0"/>
      <w:marRight w:val="0"/>
      <w:marTop w:val="0"/>
      <w:marBottom w:val="0"/>
      <w:divBdr>
        <w:top w:val="none" w:sz="0" w:space="0" w:color="auto"/>
        <w:left w:val="none" w:sz="0" w:space="0" w:color="auto"/>
        <w:bottom w:val="none" w:sz="0" w:space="0" w:color="auto"/>
        <w:right w:val="none" w:sz="0" w:space="0" w:color="auto"/>
      </w:divBdr>
    </w:div>
    <w:div w:id="2087260481">
      <w:bodyDiv w:val="1"/>
      <w:marLeft w:val="0"/>
      <w:marRight w:val="0"/>
      <w:marTop w:val="0"/>
      <w:marBottom w:val="0"/>
      <w:divBdr>
        <w:top w:val="none" w:sz="0" w:space="0" w:color="auto"/>
        <w:left w:val="none" w:sz="0" w:space="0" w:color="auto"/>
        <w:bottom w:val="none" w:sz="0" w:space="0" w:color="auto"/>
        <w:right w:val="none" w:sz="0" w:space="0" w:color="auto"/>
      </w:divBdr>
    </w:div>
    <w:div w:id="2141456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3" Type="http://schemas.openxmlformats.org/officeDocument/2006/relationships/hyperlink" Target="https://www.elfinanciero.com.mx/economia/subvaluada-industria-de-rp-en-mexico" TargetMode="External"/><Relationship Id="rId2" Type="http://schemas.openxmlformats.org/officeDocument/2006/relationships/hyperlink" Target="https://www.merca20.com/retos-de-las-relaciones-publicas-en-mexico/" TargetMode="External"/><Relationship Id="rId1" Type="http://schemas.openxmlformats.org/officeDocument/2006/relationships/hyperlink" Target="https://www.merca20.com/la-nueva-cara-de-las-relaciones-publicas-en-mexico-las-tenencias-que-debes-conoce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9FDC6-87E6-4E15-AADE-C97DCBF4C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1416</TotalTime>
  <Pages>11</Pages>
  <Words>3066</Words>
  <Characters>16864</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Antonio Iglesias</dc:creator>
  <cp:lastModifiedBy>Marilyn Márquez Santillan</cp:lastModifiedBy>
  <cp:revision>10</cp:revision>
  <cp:lastPrinted>2014-03-13T16:04:00Z</cp:lastPrinted>
  <dcterms:created xsi:type="dcterms:W3CDTF">2019-05-29T20:22:00Z</dcterms:created>
  <dcterms:modified xsi:type="dcterms:W3CDTF">2019-06-01T02:53:00Z</dcterms:modified>
</cp:coreProperties>
</file>